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b/>
          <w:sz w:val="44"/>
          <w:szCs w:val="44"/>
          <w:u w:val="single"/>
        </w:rPr>
      </w:pPr>
    </w:p>
    <w:p>
      <w:pPr>
        <w:adjustRightInd w:val="0"/>
        <w:snapToGrid w:val="0"/>
        <w:spacing w:line="360" w:lineRule="auto"/>
        <w:jc w:val="center"/>
        <w:rPr>
          <w:rFonts w:ascii="宋体"/>
          <w:b/>
          <w:sz w:val="44"/>
          <w:szCs w:val="44"/>
          <w:u w:val="single"/>
        </w:rPr>
      </w:pPr>
    </w:p>
    <w:p>
      <w:pPr>
        <w:adjustRightInd w:val="0"/>
        <w:snapToGrid w:val="0"/>
        <w:spacing w:line="360" w:lineRule="auto"/>
        <w:jc w:val="center"/>
        <w:rPr>
          <w:rFonts w:ascii="宋体"/>
          <w:b/>
          <w:sz w:val="44"/>
          <w:szCs w:val="44"/>
          <w:u w:val="single"/>
        </w:rPr>
      </w:pPr>
    </w:p>
    <w:p>
      <w:pPr>
        <w:jc w:val="center"/>
        <w:rPr>
          <w:rFonts w:hint="eastAsia" w:ascii="华文中宋" w:hAnsi="华文中宋" w:eastAsia="华文中宋" w:cs="华文中宋"/>
          <w:b/>
          <w:sz w:val="44"/>
          <w:szCs w:val="44"/>
          <w:lang w:eastAsia="zh-CN"/>
        </w:rPr>
      </w:pPr>
      <w:r>
        <w:rPr>
          <w:rFonts w:hint="eastAsia" w:ascii="华文中宋" w:hAnsi="华文中宋" w:eastAsia="华文中宋" w:cs="华文中宋"/>
          <w:b/>
          <w:sz w:val="44"/>
          <w:szCs w:val="44"/>
          <w:lang w:eastAsia="zh-CN"/>
        </w:rPr>
        <w:t>淮南市医疗保障局</w:t>
      </w:r>
    </w:p>
    <w:p>
      <w:pPr>
        <w:jc w:val="center"/>
        <w:rPr>
          <w:rFonts w:ascii="华文中宋" w:hAnsi="华文中宋" w:eastAsia="华文中宋" w:cs="华文中宋"/>
          <w:b/>
          <w:sz w:val="44"/>
          <w:szCs w:val="44"/>
        </w:rPr>
      </w:pPr>
      <w:r>
        <w:rPr>
          <w:rFonts w:ascii="华文中宋" w:hAnsi="华文中宋" w:eastAsia="华文中宋" w:cs="华文中宋"/>
          <w:b/>
          <w:sz w:val="44"/>
          <w:szCs w:val="44"/>
        </w:rPr>
        <w:t>2022</w:t>
      </w:r>
      <w:r>
        <w:rPr>
          <w:rFonts w:hint="eastAsia" w:ascii="华文中宋" w:hAnsi="华文中宋" w:eastAsia="华文中宋" w:cs="华文中宋"/>
          <w:b/>
          <w:sz w:val="44"/>
          <w:szCs w:val="44"/>
        </w:rPr>
        <w:t>年部门预算</w:t>
      </w:r>
    </w:p>
    <w:p>
      <w:pPr>
        <w:pStyle w:val="5"/>
        <w:adjustRightInd w:val="0"/>
        <w:snapToGrid w:val="0"/>
        <w:spacing w:before="0" w:beforeAutospacing="0" w:after="0" w:afterAutospacing="0" w:line="360" w:lineRule="auto"/>
        <w:jc w:val="center"/>
        <w:rPr>
          <w:rFonts w:ascii="黑体" w:hAnsi="黑体" w:eastAsia="黑体"/>
          <w:bCs/>
          <w:sz w:val="36"/>
          <w:szCs w:val="36"/>
        </w:rPr>
      </w:pPr>
    </w:p>
    <w:p>
      <w:pPr>
        <w:pStyle w:val="5"/>
        <w:adjustRightInd w:val="0"/>
        <w:snapToGrid w:val="0"/>
        <w:spacing w:before="0" w:beforeAutospacing="0" w:after="0" w:afterAutospacing="0" w:line="360" w:lineRule="auto"/>
        <w:jc w:val="center"/>
        <w:rPr>
          <w:rFonts w:ascii="黑体" w:hAnsi="黑体" w:eastAsia="黑体"/>
          <w:bCs/>
          <w:sz w:val="36"/>
          <w:szCs w:val="36"/>
        </w:rPr>
      </w:pPr>
    </w:p>
    <w:p>
      <w:pPr>
        <w:pStyle w:val="5"/>
        <w:adjustRightInd w:val="0"/>
        <w:snapToGrid w:val="0"/>
        <w:spacing w:before="0" w:beforeAutospacing="0" w:after="0" w:afterAutospacing="0" w:line="360" w:lineRule="auto"/>
        <w:jc w:val="center"/>
        <w:rPr>
          <w:rFonts w:ascii="黑体" w:hAnsi="黑体" w:eastAsia="黑体"/>
          <w:bCs/>
          <w:sz w:val="36"/>
          <w:szCs w:val="36"/>
        </w:rPr>
      </w:pPr>
    </w:p>
    <w:p>
      <w:pPr>
        <w:pStyle w:val="5"/>
        <w:adjustRightInd w:val="0"/>
        <w:snapToGrid w:val="0"/>
        <w:spacing w:before="0" w:beforeAutospacing="0" w:after="0" w:afterAutospacing="0" w:line="360" w:lineRule="auto"/>
        <w:jc w:val="center"/>
        <w:rPr>
          <w:rFonts w:ascii="黑体" w:hAnsi="黑体" w:eastAsia="黑体"/>
          <w:bCs/>
          <w:sz w:val="36"/>
          <w:szCs w:val="36"/>
        </w:rPr>
      </w:pPr>
    </w:p>
    <w:p>
      <w:pPr>
        <w:pStyle w:val="5"/>
        <w:adjustRightInd w:val="0"/>
        <w:snapToGrid w:val="0"/>
        <w:spacing w:before="0" w:beforeAutospacing="0" w:after="0" w:afterAutospacing="0" w:line="360" w:lineRule="auto"/>
        <w:jc w:val="center"/>
        <w:rPr>
          <w:rFonts w:ascii="黑体" w:hAnsi="黑体" w:eastAsia="黑体"/>
          <w:bCs/>
          <w:sz w:val="36"/>
          <w:szCs w:val="36"/>
        </w:rPr>
      </w:pPr>
    </w:p>
    <w:p>
      <w:pPr>
        <w:pStyle w:val="5"/>
        <w:adjustRightInd w:val="0"/>
        <w:snapToGrid w:val="0"/>
        <w:spacing w:before="0" w:beforeAutospacing="0" w:after="0" w:afterAutospacing="0" w:line="360" w:lineRule="auto"/>
        <w:jc w:val="center"/>
        <w:rPr>
          <w:rFonts w:ascii="黑体" w:hAnsi="黑体" w:eastAsia="黑体"/>
          <w:bCs/>
          <w:sz w:val="36"/>
          <w:szCs w:val="36"/>
        </w:rPr>
      </w:pPr>
    </w:p>
    <w:p>
      <w:pPr>
        <w:pStyle w:val="5"/>
        <w:adjustRightInd w:val="0"/>
        <w:snapToGrid w:val="0"/>
        <w:spacing w:before="0" w:beforeAutospacing="0" w:after="0" w:afterAutospacing="0" w:line="360" w:lineRule="auto"/>
        <w:jc w:val="center"/>
        <w:rPr>
          <w:rFonts w:ascii="黑体" w:hAnsi="黑体" w:eastAsia="黑体"/>
          <w:bCs/>
          <w:sz w:val="36"/>
          <w:szCs w:val="36"/>
        </w:rPr>
      </w:pPr>
    </w:p>
    <w:p>
      <w:pPr>
        <w:pStyle w:val="5"/>
        <w:adjustRightInd w:val="0"/>
        <w:snapToGrid w:val="0"/>
        <w:spacing w:before="0" w:beforeAutospacing="0" w:after="0" w:afterAutospacing="0" w:line="360" w:lineRule="auto"/>
        <w:jc w:val="center"/>
        <w:rPr>
          <w:rFonts w:ascii="黑体" w:hAnsi="黑体" w:eastAsia="黑体"/>
          <w:bCs/>
          <w:sz w:val="36"/>
          <w:szCs w:val="36"/>
        </w:rPr>
      </w:pPr>
    </w:p>
    <w:p>
      <w:pPr>
        <w:pStyle w:val="5"/>
        <w:adjustRightInd w:val="0"/>
        <w:snapToGrid w:val="0"/>
        <w:spacing w:before="0" w:beforeAutospacing="0" w:after="0" w:afterAutospacing="0" w:line="360" w:lineRule="auto"/>
        <w:jc w:val="center"/>
        <w:rPr>
          <w:rFonts w:ascii="黑体" w:hAnsi="黑体" w:eastAsia="黑体"/>
          <w:bCs/>
          <w:sz w:val="44"/>
          <w:szCs w:val="44"/>
        </w:rPr>
      </w:pPr>
      <w:r>
        <w:rPr>
          <w:rFonts w:ascii="黑体" w:hAnsi="黑体" w:eastAsia="黑体"/>
          <w:bCs/>
          <w:sz w:val="44"/>
          <w:szCs w:val="44"/>
        </w:rPr>
        <w:t>2022</w:t>
      </w:r>
      <w:r>
        <w:rPr>
          <w:rFonts w:hint="eastAsia" w:ascii="黑体" w:hAnsi="黑体" w:eastAsia="黑体"/>
          <w:bCs/>
          <w:sz w:val="44"/>
          <w:szCs w:val="44"/>
        </w:rPr>
        <w:t>年</w:t>
      </w:r>
      <w:r>
        <w:rPr>
          <w:rFonts w:hint="eastAsia" w:ascii="黑体" w:hAnsi="黑体" w:eastAsia="黑体"/>
          <w:bCs/>
          <w:sz w:val="44"/>
          <w:szCs w:val="44"/>
          <w:lang w:val="en-US" w:eastAsia="zh-CN"/>
        </w:rPr>
        <w:t>3</w:t>
      </w:r>
      <w:r>
        <w:rPr>
          <w:rFonts w:hint="eastAsia" w:ascii="黑体" w:hAnsi="黑体" w:eastAsia="黑体"/>
          <w:bCs/>
          <w:sz w:val="44"/>
          <w:szCs w:val="44"/>
        </w:rPr>
        <w:t>月</w:t>
      </w:r>
    </w:p>
    <w:p>
      <w:pPr>
        <w:pStyle w:val="5"/>
        <w:adjustRightInd w:val="0"/>
        <w:snapToGrid w:val="0"/>
        <w:spacing w:before="0" w:beforeAutospacing="0" w:after="0" w:afterAutospacing="0" w:line="360" w:lineRule="auto"/>
        <w:jc w:val="both"/>
        <w:rPr>
          <w:rFonts w:ascii="黑体" w:hAnsi="黑体" w:eastAsia="黑体"/>
          <w:bCs/>
          <w:sz w:val="36"/>
          <w:szCs w:val="36"/>
        </w:rPr>
      </w:pPr>
    </w:p>
    <w:p>
      <w:pPr>
        <w:pStyle w:val="5"/>
        <w:adjustRightInd w:val="0"/>
        <w:snapToGrid w:val="0"/>
        <w:spacing w:before="0" w:beforeAutospacing="0" w:after="0" w:afterAutospacing="0" w:line="500" w:lineRule="exact"/>
        <w:jc w:val="center"/>
        <w:rPr>
          <w:rFonts w:ascii="黑体" w:hAnsi="黑体" w:eastAsia="黑体"/>
          <w:bCs/>
          <w:sz w:val="44"/>
          <w:szCs w:val="44"/>
        </w:rPr>
      </w:pPr>
    </w:p>
    <w:p>
      <w:pPr>
        <w:pStyle w:val="5"/>
        <w:adjustRightInd w:val="0"/>
        <w:snapToGrid w:val="0"/>
        <w:spacing w:before="0" w:beforeAutospacing="0" w:after="0" w:afterAutospacing="0" w:line="500" w:lineRule="exact"/>
        <w:jc w:val="center"/>
        <w:rPr>
          <w:rFonts w:hint="eastAsia" w:ascii="黑体" w:hAnsi="黑体" w:eastAsia="黑体"/>
          <w:bCs/>
          <w:sz w:val="44"/>
          <w:szCs w:val="44"/>
        </w:rPr>
      </w:pPr>
    </w:p>
    <w:p>
      <w:pPr>
        <w:pStyle w:val="5"/>
        <w:adjustRightInd w:val="0"/>
        <w:snapToGrid w:val="0"/>
        <w:spacing w:before="0" w:beforeAutospacing="0" w:after="0" w:afterAutospacing="0" w:line="500" w:lineRule="exact"/>
        <w:jc w:val="center"/>
        <w:rPr>
          <w:rFonts w:hint="eastAsia" w:ascii="黑体" w:hAnsi="黑体" w:eastAsia="黑体"/>
          <w:bCs/>
          <w:sz w:val="44"/>
          <w:szCs w:val="44"/>
        </w:rPr>
      </w:pPr>
    </w:p>
    <w:p>
      <w:pPr>
        <w:pStyle w:val="5"/>
        <w:adjustRightInd w:val="0"/>
        <w:snapToGrid w:val="0"/>
        <w:spacing w:before="0" w:beforeAutospacing="0" w:after="0" w:afterAutospacing="0" w:line="500" w:lineRule="exact"/>
        <w:jc w:val="center"/>
        <w:rPr>
          <w:rFonts w:hint="eastAsia" w:ascii="黑体" w:hAnsi="黑体" w:eastAsia="黑体"/>
          <w:bCs/>
          <w:sz w:val="44"/>
          <w:szCs w:val="44"/>
        </w:rPr>
      </w:pPr>
    </w:p>
    <w:p>
      <w:pPr>
        <w:pStyle w:val="5"/>
        <w:adjustRightInd w:val="0"/>
        <w:snapToGrid w:val="0"/>
        <w:spacing w:before="0" w:beforeAutospacing="0" w:after="0" w:afterAutospacing="0" w:line="500" w:lineRule="exact"/>
        <w:jc w:val="center"/>
        <w:rPr>
          <w:rFonts w:hint="eastAsia" w:ascii="黑体" w:hAnsi="黑体" w:eastAsia="黑体"/>
          <w:bCs/>
          <w:sz w:val="44"/>
          <w:szCs w:val="44"/>
        </w:rPr>
      </w:pPr>
    </w:p>
    <w:p>
      <w:pPr>
        <w:pStyle w:val="5"/>
        <w:adjustRightInd w:val="0"/>
        <w:snapToGrid w:val="0"/>
        <w:spacing w:before="0" w:beforeAutospacing="0" w:after="0" w:afterAutospacing="0" w:line="500" w:lineRule="exact"/>
        <w:jc w:val="center"/>
        <w:rPr>
          <w:rFonts w:ascii="黑体" w:hAnsi="黑体" w:eastAsia="黑体"/>
          <w:bCs/>
          <w:sz w:val="44"/>
          <w:szCs w:val="44"/>
        </w:rPr>
      </w:pPr>
      <w:r>
        <w:rPr>
          <w:rFonts w:hint="eastAsia" w:ascii="黑体" w:hAnsi="黑体" w:eastAsia="黑体"/>
          <w:bCs/>
          <w:sz w:val="44"/>
          <w:szCs w:val="44"/>
        </w:rPr>
        <w:t>目</w:t>
      </w:r>
      <w:r>
        <w:rPr>
          <w:rFonts w:ascii="黑体" w:hAnsi="黑体" w:eastAsia="黑体"/>
          <w:bCs/>
          <w:sz w:val="44"/>
          <w:szCs w:val="44"/>
        </w:rPr>
        <w:t xml:space="preserve"> </w:t>
      </w:r>
      <w:r>
        <w:rPr>
          <w:rFonts w:hint="eastAsia" w:ascii="黑体" w:hAnsi="黑体" w:eastAsia="黑体"/>
          <w:bCs/>
          <w:sz w:val="44"/>
          <w:szCs w:val="44"/>
        </w:rPr>
        <w:t>录</w:t>
      </w:r>
    </w:p>
    <w:p>
      <w:pPr>
        <w:pStyle w:val="5"/>
        <w:adjustRightInd w:val="0"/>
        <w:snapToGrid w:val="0"/>
        <w:spacing w:before="0" w:beforeAutospacing="0" w:after="0" w:afterAutospacing="0" w:line="500" w:lineRule="exact"/>
        <w:ind w:firstLine="643" w:firstLineChars="200"/>
        <w:jc w:val="both"/>
        <w:rPr>
          <w:rFonts w:ascii="仿宋_GB2312" w:hAnsi="仿宋" w:eastAsia="仿宋_GB2312" w:cs="仿宋"/>
          <w:b/>
          <w:sz w:val="32"/>
          <w:szCs w:val="32"/>
        </w:rPr>
      </w:pPr>
    </w:p>
    <w:p>
      <w:pPr>
        <w:pStyle w:val="5"/>
        <w:adjustRightInd w:val="0"/>
        <w:snapToGrid w:val="0"/>
        <w:spacing w:before="0" w:beforeAutospacing="0" w:after="0" w:afterAutospacing="0" w:line="500" w:lineRule="exact"/>
        <w:ind w:firstLine="643" w:firstLineChars="200"/>
        <w:jc w:val="both"/>
        <w:rPr>
          <w:rFonts w:ascii="仿宋_GB2312" w:hAnsi="仿宋" w:eastAsia="仿宋_GB2312" w:cs="仿宋"/>
          <w:b/>
          <w:sz w:val="32"/>
          <w:szCs w:val="32"/>
        </w:rPr>
      </w:pPr>
      <w:r>
        <w:rPr>
          <w:rFonts w:hint="eastAsia" w:ascii="仿宋_GB2312" w:hAnsi="仿宋" w:eastAsia="仿宋_GB2312" w:cs="仿宋"/>
          <w:b/>
          <w:sz w:val="32"/>
          <w:szCs w:val="32"/>
        </w:rPr>
        <w:t>第一部分</w:t>
      </w:r>
      <w:r>
        <w:rPr>
          <w:rFonts w:ascii="仿宋_GB2312" w:hAnsi="仿宋" w:eastAsia="仿宋_GB2312" w:cs="仿宋"/>
          <w:b/>
          <w:sz w:val="32"/>
          <w:szCs w:val="32"/>
        </w:rPr>
        <w:t xml:space="preserve"> </w:t>
      </w:r>
      <w:r>
        <w:rPr>
          <w:rFonts w:hint="eastAsia" w:ascii="仿宋_GB2312" w:hAnsi="仿宋" w:eastAsia="仿宋_GB2312" w:cs="仿宋"/>
          <w:b/>
          <w:sz w:val="32"/>
          <w:szCs w:val="32"/>
        </w:rPr>
        <w:t>部门概况</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w:t>
      </w:r>
      <w:r>
        <w:rPr>
          <w:rFonts w:hint="eastAsia" w:ascii="仿宋_GB2312" w:hAnsi="仿宋" w:eastAsia="仿宋_GB2312" w:cs="仿宋"/>
          <w:bCs/>
          <w:sz w:val="32"/>
          <w:szCs w:val="32"/>
        </w:rPr>
        <w:t>主要职责</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2.</w:t>
      </w:r>
      <w:r>
        <w:rPr>
          <w:rFonts w:hint="eastAsia" w:ascii="仿宋_GB2312" w:hAnsi="仿宋" w:eastAsia="仿宋_GB2312" w:cs="仿宋"/>
          <w:bCs/>
          <w:sz w:val="32"/>
          <w:szCs w:val="32"/>
        </w:rPr>
        <w:t>部门预算构成</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3.2022</w:t>
      </w:r>
      <w:r>
        <w:rPr>
          <w:rFonts w:hint="eastAsia" w:ascii="仿宋_GB2312" w:hAnsi="仿宋" w:eastAsia="仿宋_GB2312" w:cs="仿宋"/>
          <w:bCs/>
          <w:sz w:val="32"/>
          <w:szCs w:val="32"/>
        </w:rPr>
        <w:t>年度主要工作任务</w:t>
      </w:r>
    </w:p>
    <w:p>
      <w:pPr>
        <w:pStyle w:val="5"/>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r>
        <w:rPr>
          <w:rFonts w:hint="eastAsia" w:ascii="仿宋_GB2312" w:hAnsi="仿宋" w:eastAsia="仿宋_GB2312" w:cs="仿宋"/>
          <w:b/>
          <w:sz w:val="32"/>
          <w:szCs w:val="32"/>
        </w:rPr>
        <w:t>第二部分</w:t>
      </w:r>
      <w:r>
        <w:rPr>
          <w:rFonts w:ascii="仿宋_GB2312" w:hAnsi="仿宋" w:eastAsia="仿宋_GB2312" w:cs="仿宋"/>
          <w:b/>
          <w:sz w:val="32"/>
          <w:szCs w:val="32"/>
        </w:rPr>
        <w:t xml:space="preserve"> 2022</w:t>
      </w:r>
      <w:r>
        <w:rPr>
          <w:rFonts w:hint="eastAsia" w:ascii="仿宋_GB2312" w:hAnsi="仿宋" w:eastAsia="仿宋_GB2312" w:cs="仿宋"/>
          <w:b/>
          <w:sz w:val="32"/>
          <w:szCs w:val="32"/>
        </w:rPr>
        <w:t>年部门预算表</w:t>
      </w:r>
    </w:p>
    <w:p>
      <w:pPr>
        <w:pStyle w:val="5"/>
        <w:adjustRightInd w:val="0"/>
        <w:snapToGrid w:val="0"/>
        <w:spacing w:before="0" w:beforeAutospacing="0" w:after="0" w:afterAutospacing="0" w:line="500" w:lineRule="exact"/>
        <w:ind w:firstLine="640" w:firstLineChars="200"/>
        <w:outlineLvl w:val="0"/>
        <w:rPr>
          <w:rFonts w:ascii="仿宋_GB2312" w:hAnsi="仿宋" w:eastAsia="仿宋_GB2312" w:cs="仿宋"/>
          <w:bCs/>
          <w:sz w:val="32"/>
          <w:szCs w:val="32"/>
        </w:rPr>
      </w:pPr>
      <w:r>
        <w:rPr>
          <w:rFonts w:ascii="仿宋_GB2312" w:hAnsi="仿宋" w:eastAsia="仿宋_GB2312" w:cs="仿宋"/>
          <w:bCs/>
          <w:sz w:val="32"/>
          <w:szCs w:val="32"/>
        </w:rPr>
        <w:t>1.</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年收支总表</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2.</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年收入总表</w:t>
      </w:r>
    </w:p>
    <w:p>
      <w:pPr>
        <w:pStyle w:val="5"/>
        <w:adjustRightInd w:val="0"/>
        <w:snapToGrid w:val="0"/>
        <w:spacing w:before="0" w:beforeAutospacing="0" w:after="0" w:afterAutospacing="0" w:line="500" w:lineRule="exact"/>
        <w:ind w:firstLine="640" w:firstLineChars="200"/>
        <w:outlineLvl w:val="0"/>
        <w:rPr>
          <w:rFonts w:ascii="仿宋_GB2312" w:hAnsi="仿宋" w:eastAsia="仿宋_GB2312" w:cs="仿宋"/>
          <w:bCs/>
          <w:sz w:val="32"/>
          <w:szCs w:val="32"/>
        </w:rPr>
      </w:pPr>
      <w:r>
        <w:rPr>
          <w:rFonts w:ascii="仿宋_GB2312" w:hAnsi="仿宋" w:eastAsia="仿宋_GB2312" w:cs="仿宋"/>
          <w:bCs/>
          <w:sz w:val="32"/>
          <w:szCs w:val="32"/>
        </w:rPr>
        <w:t>3.</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年支出总表</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4.</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年财政拨款收支总表</w:t>
      </w:r>
    </w:p>
    <w:p>
      <w:pPr>
        <w:pStyle w:val="5"/>
        <w:adjustRightInd w:val="0"/>
        <w:snapToGrid w:val="0"/>
        <w:spacing w:before="0" w:beforeAutospacing="0" w:after="0" w:afterAutospacing="0" w:line="500" w:lineRule="exact"/>
        <w:ind w:firstLine="640" w:firstLineChars="200"/>
        <w:outlineLvl w:val="0"/>
        <w:rPr>
          <w:rFonts w:ascii="仿宋_GB2312" w:hAnsi="仿宋" w:eastAsia="仿宋_GB2312" w:cs="仿宋"/>
          <w:bCs/>
          <w:sz w:val="32"/>
          <w:szCs w:val="32"/>
        </w:rPr>
      </w:pPr>
      <w:r>
        <w:rPr>
          <w:rFonts w:ascii="仿宋_GB2312" w:hAnsi="仿宋" w:eastAsia="仿宋_GB2312" w:cs="仿宋"/>
          <w:bCs/>
          <w:sz w:val="32"/>
          <w:szCs w:val="32"/>
        </w:rPr>
        <w:t>5.</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年一般公共预算支出表</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6.</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年一般公共预算基本支出表</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7.</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年政府性基金预算支出表</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8.</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年国有资本经营预算支出表</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9.</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年项目支出表</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10.</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年政府采购支出表</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11.</w:t>
      </w:r>
      <w:r>
        <w:rPr>
          <w:rFonts w:hint="eastAsia" w:ascii="仿宋_GB2312" w:hAnsi="仿宋" w:eastAsia="仿宋_GB2312" w:cs="仿宋"/>
          <w:bCs/>
          <w:sz w:val="32"/>
          <w:szCs w:val="32"/>
          <w:lang w:eastAsia="zh-CN"/>
        </w:rPr>
        <w:t>淮南市医疗保障局</w:t>
      </w:r>
      <w:r>
        <w:rPr>
          <w:rFonts w:ascii="仿宋_GB2312" w:hAnsi="仿宋" w:eastAsia="仿宋_GB2312" w:cs="仿宋"/>
          <w:bCs/>
          <w:sz w:val="32"/>
          <w:szCs w:val="32"/>
        </w:rPr>
        <w:t>2022</w:t>
      </w:r>
      <w:r>
        <w:rPr>
          <w:rFonts w:hint="eastAsia" w:ascii="仿宋_GB2312" w:hAnsi="仿宋" w:eastAsia="仿宋_GB2312" w:cs="仿宋"/>
          <w:bCs/>
          <w:sz w:val="32"/>
          <w:szCs w:val="32"/>
        </w:rPr>
        <w:t>年政府购买服务支出表</w:t>
      </w:r>
    </w:p>
    <w:p>
      <w:pPr>
        <w:pStyle w:val="5"/>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r>
        <w:rPr>
          <w:rFonts w:hint="eastAsia" w:ascii="仿宋_GB2312" w:hAnsi="仿宋" w:eastAsia="仿宋_GB2312" w:cs="仿宋"/>
          <w:b/>
          <w:sz w:val="32"/>
          <w:szCs w:val="32"/>
        </w:rPr>
        <w:t>第三部分</w:t>
      </w:r>
      <w:r>
        <w:rPr>
          <w:rFonts w:ascii="仿宋_GB2312" w:hAnsi="仿宋" w:eastAsia="仿宋_GB2312" w:cs="仿宋"/>
          <w:b/>
          <w:sz w:val="32"/>
          <w:szCs w:val="32"/>
        </w:rPr>
        <w:t xml:space="preserve"> 2022</w:t>
      </w:r>
      <w:r>
        <w:rPr>
          <w:rFonts w:hint="eastAsia" w:ascii="仿宋_GB2312" w:hAnsi="仿宋" w:eastAsia="仿宋_GB2312" w:cs="仿宋"/>
          <w:b/>
          <w:sz w:val="32"/>
          <w:szCs w:val="32"/>
        </w:rPr>
        <w:t>年部门预算情况说明</w:t>
      </w:r>
    </w:p>
    <w:p>
      <w:pPr>
        <w:pStyle w:val="5"/>
        <w:adjustRightInd w:val="0"/>
        <w:snapToGrid w:val="0"/>
        <w:spacing w:before="0" w:beforeAutospacing="0" w:after="0" w:afterAutospacing="0" w:line="500" w:lineRule="exact"/>
        <w:ind w:firstLine="640" w:firstLineChars="200"/>
        <w:outlineLvl w:val="0"/>
        <w:rPr>
          <w:rFonts w:ascii="仿宋_GB2312" w:hAnsi="仿宋" w:eastAsia="仿宋_GB2312" w:cs="仿宋"/>
          <w:bCs/>
          <w:sz w:val="32"/>
          <w:szCs w:val="32"/>
        </w:rPr>
      </w:pPr>
      <w:r>
        <w:rPr>
          <w:rFonts w:ascii="仿宋_GB2312" w:hAnsi="仿宋" w:eastAsia="仿宋_GB2312" w:cs="仿宋"/>
          <w:bCs/>
          <w:sz w:val="32"/>
          <w:szCs w:val="32"/>
        </w:rPr>
        <w:t>1.</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年收支总表的说明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2.</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年收入总表的说明</w:t>
      </w:r>
    </w:p>
    <w:p>
      <w:pPr>
        <w:adjustRightInd w:val="0"/>
        <w:snapToGrid w:val="0"/>
        <w:spacing w:line="600" w:lineRule="exact"/>
        <w:ind w:firstLine="640" w:firstLineChars="200"/>
        <w:rPr>
          <w:rFonts w:ascii="仿宋_GB2312" w:hAnsi="仿宋" w:eastAsia="仿宋_GB2312" w:cs="仿宋"/>
          <w:bCs/>
          <w:kern w:val="0"/>
          <w:sz w:val="32"/>
          <w:szCs w:val="32"/>
        </w:rPr>
      </w:pPr>
      <w:r>
        <w:rPr>
          <w:rFonts w:ascii="仿宋_GB2312" w:hAnsi="仿宋" w:eastAsia="仿宋_GB2312" w:cs="仿宋"/>
          <w:bCs/>
          <w:kern w:val="0"/>
          <w:sz w:val="32"/>
          <w:szCs w:val="32"/>
        </w:rPr>
        <w:t>3.</w:t>
      </w:r>
      <w:r>
        <w:rPr>
          <w:rFonts w:hint="eastAsia" w:ascii="仿宋_GB2312" w:hAnsi="仿宋" w:eastAsia="仿宋_GB2312" w:cs="仿宋"/>
          <w:bCs/>
          <w:kern w:val="0"/>
          <w:sz w:val="32"/>
          <w:szCs w:val="32"/>
        </w:rPr>
        <w:t>关于</w:t>
      </w:r>
      <w:r>
        <w:rPr>
          <w:rFonts w:ascii="仿宋_GB2312" w:hAnsi="仿宋" w:eastAsia="仿宋_GB2312" w:cs="仿宋"/>
          <w:bCs/>
          <w:kern w:val="0"/>
          <w:sz w:val="32"/>
          <w:szCs w:val="32"/>
        </w:rPr>
        <w:t>2022</w:t>
      </w:r>
      <w:r>
        <w:rPr>
          <w:rFonts w:hint="eastAsia" w:ascii="仿宋_GB2312" w:hAnsi="仿宋" w:eastAsia="仿宋_GB2312" w:cs="仿宋"/>
          <w:bCs/>
          <w:kern w:val="0"/>
          <w:sz w:val="32"/>
          <w:szCs w:val="32"/>
        </w:rPr>
        <w:t>年支出总表的说明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4.</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年财政拨款收支总表的说明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5.</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年一般公共预算支出表的说明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6.</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年一般公共预算基本支出表的说明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7.</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年政府性基金预算支出表的说明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8.</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年国有资本经营预算支出表的说明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9.</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年项目支出表的说明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10.</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年政府采购支出表的说明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11.</w:t>
      </w:r>
      <w:r>
        <w:rPr>
          <w:rFonts w:hint="eastAsia" w:ascii="仿宋_GB2312" w:hAnsi="仿宋" w:eastAsia="仿宋_GB2312" w:cs="仿宋"/>
          <w:bCs/>
          <w:sz w:val="32"/>
          <w:szCs w:val="32"/>
        </w:rPr>
        <w:t>关于</w:t>
      </w:r>
      <w:r>
        <w:rPr>
          <w:rFonts w:ascii="仿宋_GB2312" w:hAnsi="仿宋" w:eastAsia="仿宋_GB2312" w:cs="仿宋"/>
          <w:bCs/>
          <w:sz w:val="32"/>
          <w:szCs w:val="32"/>
        </w:rPr>
        <w:t>2022</w:t>
      </w:r>
      <w:r>
        <w:rPr>
          <w:rFonts w:hint="eastAsia" w:ascii="仿宋_GB2312" w:hAnsi="仿宋" w:eastAsia="仿宋_GB2312" w:cs="仿宋"/>
          <w:bCs/>
          <w:sz w:val="32"/>
          <w:szCs w:val="32"/>
        </w:rPr>
        <w:t>年政府购买服务支出表的说明</w:t>
      </w:r>
    </w:p>
    <w:p>
      <w:pPr>
        <w:pStyle w:val="5"/>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12.</w:t>
      </w:r>
      <w:r>
        <w:rPr>
          <w:rFonts w:hint="eastAsia" w:ascii="仿宋_GB2312" w:hAnsi="仿宋" w:eastAsia="仿宋_GB2312" w:cs="仿宋"/>
          <w:bCs/>
          <w:sz w:val="32"/>
          <w:szCs w:val="32"/>
        </w:rPr>
        <w:t>其他重要事项情况说明</w:t>
      </w:r>
    </w:p>
    <w:p>
      <w:pPr>
        <w:pStyle w:val="5"/>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r>
        <w:rPr>
          <w:rFonts w:hint="eastAsia" w:ascii="仿宋_GB2312" w:hAnsi="仿宋" w:eastAsia="仿宋_GB2312" w:cs="仿宋"/>
          <w:b/>
          <w:sz w:val="32"/>
          <w:szCs w:val="32"/>
        </w:rPr>
        <w:t>第四部分</w:t>
      </w:r>
      <w:r>
        <w:rPr>
          <w:rFonts w:ascii="仿宋_GB2312" w:hAnsi="仿宋" w:eastAsia="仿宋_GB2312" w:cs="仿宋"/>
          <w:b/>
          <w:sz w:val="32"/>
          <w:szCs w:val="32"/>
        </w:rPr>
        <w:t xml:space="preserve"> </w:t>
      </w:r>
      <w:r>
        <w:rPr>
          <w:rFonts w:hint="eastAsia" w:ascii="仿宋_GB2312" w:hAnsi="仿宋" w:eastAsia="仿宋_GB2312" w:cs="仿宋"/>
          <w:b/>
          <w:sz w:val="32"/>
          <w:szCs w:val="32"/>
        </w:rPr>
        <w:t>名词解释</w:t>
      </w:r>
    </w:p>
    <w:p>
      <w:pPr>
        <w:pStyle w:val="5"/>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p>
    <w:p>
      <w:pPr>
        <w:pStyle w:val="5"/>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p>
    <w:p>
      <w:pPr>
        <w:pStyle w:val="5"/>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p>
    <w:p>
      <w:pPr>
        <w:pStyle w:val="5"/>
        <w:adjustRightInd w:val="0"/>
        <w:snapToGrid w:val="0"/>
        <w:spacing w:before="0" w:beforeAutospacing="0" w:after="0" w:afterAutospacing="0" w:line="360" w:lineRule="auto"/>
        <w:jc w:val="center"/>
        <w:rPr>
          <w:rFonts w:ascii="黑体" w:hAnsi="黑体" w:eastAsia="黑体"/>
          <w:bCs/>
          <w:sz w:val="36"/>
          <w:szCs w:val="36"/>
        </w:rPr>
      </w:pPr>
      <w:r>
        <w:rPr>
          <w:rFonts w:hint="eastAsia" w:ascii="黑体" w:hAnsi="黑体" w:eastAsia="黑体"/>
          <w:bCs/>
          <w:sz w:val="36"/>
          <w:szCs w:val="36"/>
        </w:rPr>
        <w:t>第一部分</w:t>
      </w:r>
      <w:r>
        <w:rPr>
          <w:rFonts w:ascii="黑体" w:hAnsi="黑体" w:eastAsia="黑体"/>
          <w:bCs/>
          <w:sz w:val="36"/>
          <w:szCs w:val="36"/>
        </w:rPr>
        <w:t xml:space="preserve"> </w:t>
      </w:r>
      <w:r>
        <w:rPr>
          <w:rFonts w:hint="eastAsia" w:ascii="黑体" w:hAnsi="黑体" w:eastAsia="黑体"/>
          <w:bCs/>
          <w:sz w:val="36"/>
          <w:szCs w:val="36"/>
        </w:rPr>
        <w:t>部门概况</w:t>
      </w:r>
    </w:p>
    <w:p>
      <w:pPr>
        <w:pStyle w:val="5"/>
        <w:adjustRightInd w:val="0"/>
        <w:snapToGrid w:val="0"/>
        <w:spacing w:before="0" w:beforeAutospacing="0" w:after="0" w:afterAutospacing="0" w:line="360" w:lineRule="auto"/>
        <w:ind w:firstLine="627" w:firstLineChars="196"/>
        <w:jc w:val="both"/>
      </w:pPr>
      <w:r>
        <w:rPr>
          <w:rFonts w:hint="eastAsia" w:ascii="黑体" w:hAnsi="黑体" w:eastAsia="黑体"/>
          <w:bCs/>
          <w:sz w:val="32"/>
          <w:szCs w:val="32"/>
        </w:rPr>
        <w:t>一、主要职责</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 xml:space="preserve">根据《中共安徽省委办公厅、安徽省人民政府办公厅关于印发〈淮南市机构改革方案〉的通知》（厅〔2019〕7 号）和《中共淮南市委、淮南市人民政府关于市级机构改革的实施意见》（淮发〔2019〕3号），市医保局主要职责是： </w:t>
      </w:r>
    </w:p>
    <w:p>
      <w:pPr>
        <w:pStyle w:val="2"/>
        <w:spacing w:line="620" w:lineRule="exact"/>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（1）贯彻执行国家和省关于医疗保险、生育保险、医疗救助等医疗保障法律法规规章和政策规划标准，起草有关地方性法规规章草案，拟定我市相关政策、规划和标准并组织实施。</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（2）贯彻落实全省城乡统一的药品、医用耗材、医疗服务项目、医疗服务设施等医保目录和支付标准，承担医保目录准入相关工作。</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（3）组织制定并实施医疗保障基金监督管理办法，建立健全医疗保障基金安全防控机制，推进医疗保障基金支付方式改革。  </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（4）组织制定全市医疗保障筹资和待遇政策，完善动态调整和区域调剂平衡机制，统筹城乡医疗保障待遇标准，建立健全与筹资水平相适应的待遇调整机制。贯彻落实安徽省长期护理保险制度改革方案。  </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5）组织制定药品、医用耗材价格和医疗服务项目、医疗服务设施收费等政策，建立医保支付医药服务价格合理确定和动态调整机制，推动建立市场主导的社会医药服务价格形成机制，建立价格信息监测和信息发布制度。  </w:t>
      </w:r>
    </w:p>
    <w:p>
      <w:pPr>
        <w:pStyle w:val="2"/>
        <w:spacing w:line="620" w:lineRule="exact"/>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（6）制定药品、医用耗材的招标采购政策并监督实施，指导全市医疗卫生机构药品、医用设备、医用耗材集中采购的监督管理工作，指导药品、医用耗材集中采购平台建设。  </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（7）制定定点医药机构协议和支付管理办法并组织实施，建立健全医疗保障信用评价体系和信息披露制度，监督管理纳入医保范围内的医疗服务行为和医疗费用，依法查处医疗保障领域违法违规行为。</w:t>
      </w:r>
    </w:p>
    <w:p>
      <w:pPr>
        <w:pStyle w:val="2"/>
        <w:spacing w:line="620" w:lineRule="exact"/>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（8）负责医疗保障经办管理、公共服务体系和信息化建设，组织制定和完善异地就医管理和费用结算政策。建立健全医疗保障关系转移接续制度，开展医疗保险领域交流工作。  </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（9）负责市委、市政府和市委编委明确的安全生产职责。</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（10）完成市委、市政府交办的其他任务。</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11）职能转变。市医疗保障局应完善全市统一的城乡居民基本医疗保险制度和大病保险制度，建立健全覆盖全民、城乡统筹的多层次医疗保障体系，不断提高医疗保障水平，确保医保资金合理使用、安全可控，推进医疗、医保、医药“三医联动”改革，更好保障人民群众就医需求、减轻医药费用负担。  </w:t>
      </w:r>
      <w:r>
        <w:rPr>
          <w:rFonts w:hint="eastAsia" w:ascii="仿宋_GB2312" w:hAnsi="仿宋" w:eastAsia="仿宋_GB2312" w:cs="宋体"/>
          <w:kern w:val="0"/>
          <w:sz w:val="32"/>
          <w:szCs w:val="32"/>
          <w:lang w:val="en-US" w:eastAsia="zh-CN" w:bidi="ar-SA"/>
        </w:rPr>
        <w:br w:type="textWrapping"/>
      </w:r>
      <w:r>
        <w:rPr>
          <w:rFonts w:hint="eastAsia" w:ascii="仿宋_GB2312" w:hAnsi="仿宋" w:eastAsia="仿宋_GB2312" w:cs="宋体"/>
          <w:kern w:val="0"/>
          <w:sz w:val="32"/>
          <w:szCs w:val="32"/>
          <w:lang w:val="en-US" w:eastAsia="zh-CN" w:bidi="ar-SA"/>
        </w:rPr>
        <w:t xml:space="preserve">    （12）与市卫生健康委员会的有关职责分工。市卫生健康委员会、市医疗保障局等部门在医疗、医保、医药等方面加强制度、政策衔接，建立沟通协商机制，协同推进改革，提高医疗资源使用效率和医疗保障水平。</w:t>
      </w:r>
    </w:p>
    <w:p>
      <w:pPr>
        <w:pStyle w:val="2"/>
        <w:spacing w:line="620" w:lineRule="exact"/>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 xml:space="preserve"> </w:t>
      </w:r>
    </w:p>
    <w:p>
      <w:pPr>
        <w:pStyle w:val="5"/>
        <w:numPr>
          <w:ilvl w:val="0"/>
          <w:numId w:val="1"/>
        </w:numPr>
        <w:adjustRightInd w:val="0"/>
        <w:snapToGrid w:val="0"/>
        <w:spacing w:before="0" w:beforeAutospacing="0" w:after="0" w:afterAutospacing="0" w:line="360" w:lineRule="auto"/>
        <w:ind w:firstLine="627" w:firstLineChars="196"/>
        <w:jc w:val="both"/>
        <w:rPr>
          <w:rFonts w:ascii="黑体" w:hAnsi="黑体" w:eastAsia="黑体"/>
          <w:bCs/>
          <w:sz w:val="32"/>
          <w:szCs w:val="32"/>
        </w:rPr>
      </w:pPr>
      <w:r>
        <w:rPr>
          <w:rFonts w:hint="eastAsia" w:ascii="黑体" w:hAnsi="黑体" w:eastAsia="黑体"/>
          <w:bCs/>
          <w:sz w:val="32"/>
          <w:szCs w:val="32"/>
        </w:rPr>
        <w:t>部门预算构成</w:t>
      </w:r>
    </w:p>
    <w:p>
      <w:pPr>
        <w:pStyle w:val="5"/>
        <w:adjustRightInd w:val="0"/>
        <w:snapToGrid w:val="0"/>
        <w:spacing w:before="0" w:beforeAutospacing="0" w:after="0" w:afterAutospacing="0" w:line="360" w:lineRule="auto"/>
        <w:ind w:firstLine="640" w:firstLineChars="200"/>
        <w:jc w:val="both"/>
        <w:rPr>
          <w:rFonts w:ascii="仿宋_GB2312" w:hAnsi="仿宋" w:eastAsia="仿宋_GB2312"/>
          <w:sz w:val="32"/>
          <w:szCs w:val="32"/>
        </w:rPr>
      </w:pPr>
      <w:r>
        <w:rPr>
          <w:rFonts w:hint="eastAsia" w:ascii="仿宋_GB2312" w:hAnsi="仿宋" w:eastAsia="仿宋_GB2312"/>
          <w:sz w:val="32"/>
          <w:szCs w:val="32"/>
        </w:rPr>
        <w:t>从预算单位构成看，</w:t>
      </w:r>
      <w:r>
        <w:rPr>
          <w:rFonts w:hint="eastAsia" w:ascii="仿宋_GB2312" w:hAnsi="仿宋" w:eastAsia="仿宋_GB2312" w:cs="仿宋"/>
          <w:bCs/>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年度部门预算包括</w:t>
      </w:r>
      <w:r>
        <w:rPr>
          <w:rFonts w:hint="eastAsia" w:ascii="仿宋_GB2312" w:hAnsi="仿宋" w:eastAsia="仿宋_GB2312" w:cs="仿宋"/>
          <w:bCs/>
          <w:sz w:val="32"/>
          <w:szCs w:val="32"/>
          <w:lang w:eastAsia="zh-CN"/>
        </w:rPr>
        <w:t>淮南市医疗保障局</w:t>
      </w:r>
      <w:r>
        <w:rPr>
          <w:rFonts w:hint="eastAsia" w:ascii="仿宋_GB2312" w:hAnsi="仿宋" w:eastAsia="仿宋_GB2312"/>
          <w:sz w:val="32"/>
          <w:szCs w:val="32"/>
        </w:rPr>
        <w:t>本级预算和</w:t>
      </w:r>
      <w:r>
        <w:rPr>
          <w:rFonts w:hint="eastAsia" w:ascii="仿宋_GB2312" w:hAnsi="仿宋_GB2312" w:eastAsia="仿宋_GB2312" w:cs="仿宋_GB2312"/>
          <w:bCs/>
          <w:sz w:val="32"/>
          <w:szCs w:val="32"/>
        </w:rPr>
        <w:t>市</w:t>
      </w:r>
      <w:r>
        <w:rPr>
          <w:rFonts w:hint="eastAsia" w:ascii="仿宋_GB2312" w:hAnsi="仿宋_GB2312" w:eastAsia="仿宋_GB2312" w:cs="仿宋_GB2312"/>
          <w:bCs/>
          <w:sz w:val="32"/>
          <w:szCs w:val="32"/>
          <w:lang w:val="en-US" w:eastAsia="zh-CN"/>
        </w:rPr>
        <w:t>城镇职工基本医疗保险管理中心、</w:t>
      </w:r>
      <w:r>
        <w:rPr>
          <w:rFonts w:hint="eastAsia" w:ascii="仿宋_GB2312" w:hAnsi="仿宋_GB2312" w:eastAsia="仿宋_GB2312" w:cs="仿宋_GB2312"/>
          <w:sz w:val="32"/>
          <w:szCs w:val="32"/>
        </w:rPr>
        <w:t>市医疗</w:t>
      </w:r>
      <w:r>
        <w:rPr>
          <w:rFonts w:hint="eastAsia" w:ascii="仿宋_GB2312" w:hAnsi="仿宋_GB2312" w:eastAsia="仿宋_GB2312" w:cs="仿宋_GB2312"/>
          <w:sz w:val="32"/>
          <w:szCs w:val="32"/>
          <w:lang w:eastAsia="zh-CN"/>
        </w:rPr>
        <w:t>保障权益</w:t>
      </w:r>
      <w:r>
        <w:rPr>
          <w:rFonts w:hint="eastAsia" w:ascii="仿宋_GB2312" w:hAnsi="仿宋_GB2312" w:eastAsia="仿宋_GB2312" w:cs="仿宋_GB2312"/>
          <w:sz w:val="32"/>
          <w:szCs w:val="32"/>
        </w:rPr>
        <w:t>管理中心</w:t>
      </w:r>
      <w:r>
        <w:rPr>
          <w:rFonts w:hint="eastAsia" w:ascii="仿宋_GB2312" w:hAnsi="仿宋_GB2312" w:eastAsia="仿宋_GB2312" w:cs="仿宋_GB2312"/>
          <w:sz w:val="32"/>
          <w:szCs w:val="32"/>
          <w:lang w:eastAsia="zh-CN"/>
        </w:rPr>
        <w:t>、市医疗保障信息中心</w:t>
      </w:r>
      <w:r>
        <w:rPr>
          <w:rFonts w:hint="eastAsia" w:ascii="仿宋_GB2312" w:hAnsi="仿宋_GB2312" w:eastAsia="仿宋_GB2312" w:cs="仿宋_GB2312"/>
          <w:sz w:val="32"/>
          <w:szCs w:val="32"/>
        </w:rPr>
        <w:t>下</w:t>
      </w:r>
      <w:r>
        <w:rPr>
          <w:rFonts w:hint="eastAsia" w:ascii="仿宋_GB2312" w:hAnsi="仿宋" w:eastAsia="仿宋_GB2312"/>
          <w:sz w:val="32"/>
          <w:szCs w:val="32"/>
        </w:rPr>
        <w:t>属单位预算，纳入部门预算编制范</w:t>
      </w:r>
      <w:bookmarkStart w:id="0" w:name="_GoBack"/>
      <w:bookmarkEnd w:id="0"/>
      <w:r>
        <w:rPr>
          <w:rFonts w:hint="eastAsia" w:ascii="仿宋_GB2312" w:hAnsi="仿宋" w:eastAsia="仿宋_GB2312"/>
          <w:sz w:val="32"/>
          <w:szCs w:val="32"/>
        </w:rPr>
        <w:t>围的预算单位共</w:t>
      </w:r>
      <w:r>
        <w:rPr>
          <w:rFonts w:hint="eastAsia" w:ascii="仿宋_GB2312" w:hAnsi="仿宋" w:eastAsia="仿宋_GB2312"/>
          <w:sz w:val="32"/>
          <w:szCs w:val="32"/>
          <w:lang w:val="en-US" w:eastAsia="zh-CN"/>
        </w:rPr>
        <w:t>4</w:t>
      </w:r>
      <w:r>
        <w:rPr>
          <w:rFonts w:hint="eastAsia" w:ascii="仿宋_GB2312" w:hAnsi="仿宋" w:eastAsia="仿宋_GB2312"/>
          <w:sz w:val="32"/>
          <w:szCs w:val="32"/>
        </w:rPr>
        <w:t>个，具体情况见下表。</w:t>
      </w:r>
    </w:p>
    <w:tbl>
      <w:tblPr>
        <w:tblStyle w:val="6"/>
        <w:tblW w:w="9000" w:type="dxa"/>
        <w:tblInd w:w="288" w:type="dxa"/>
        <w:tblLayout w:type="fixed"/>
        <w:tblCellMar>
          <w:top w:w="0" w:type="dxa"/>
          <w:left w:w="0" w:type="dxa"/>
          <w:bottom w:w="0" w:type="dxa"/>
          <w:right w:w="0" w:type="dxa"/>
        </w:tblCellMar>
      </w:tblPr>
      <w:tblGrid>
        <w:gridCol w:w="900"/>
        <w:gridCol w:w="3976"/>
        <w:gridCol w:w="4124"/>
      </w:tblGrid>
      <w:tr>
        <w:tblPrEx>
          <w:tblCellMar>
            <w:top w:w="0" w:type="dxa"/>
            <w:left w:w="0" w:type="dxa"/>
            <w:bottom w:w="0" w:type="dxa"/>
            <w:right w:w="0" w:type="dxa"/>
          </w:tblCellMar>
        </w:tblPrEx>
        <w:trPr>
          <w:trHeight w:val="397" w:hRule="exact"/>
        </w:trPr>
        <w:tc>
          <w:tcPr>
            <w:tcW w:w="9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ascii="仿宋_GB2312" w:hAnsi="宋体" w:eastAsia="仿宋_GB2312"/>
                <w:sz w:val="24"/>
              </w:rPr>
            </w:pPr>
            <w:r>
              <w:rPr>
                <w:rFonts w:hint="eastAsia" w:ascii="仿宋_GB2312" w:hAnsi="宋体" w:eastAsia="仿宋_GB2312"/>
                <w:sz w:val="24"/>
              </w:rPr>
              <w:t>序号</w:t>
            </w:r>
          </w:p>
        </w:tc>
        <w:tc>
          <w:tcPr>
            <w:tcW w:w="397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rPr>
              <w:t>单位名称</w:t>
            </w:r>
          </w:p>
        </w:tc>
        <w:tc>
          <w:tcPr>
            <w:tcW w:w="4124" w:type="dxa"/>
            <w:tcBorders>
              <w:top w:val="single" w:color="auto" w:sz="8" w:space="0"/>
              <w:left w:val="nil"/>
              <w:bottom w:val="single" w:color="auto" w:sz="8" w:space="0"/>
              <w:right w:val="single" w:color="auto" w:sz="8" w:space="0"/>
            </w:tcBorders>
            <w:shd w:val="clear" w:color="auto" w:fill="FFFFFF"/>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rPr>
              <w:t>单位性质</w:t>
            </w:r>
          </w:p>
        </w:tc>
      </w:tr>
      <w:tr>
        <w:tblPrEx>
          <w:tblCellMar>
            <w:top w:w="0" w:type="dxa"/>
            <w:left w:w="0" w:type="dxa"/>
            <w:bottom w:w="0" w:type="dxa"/>
            <w:right w:w="0" w:type="dxa"/>
          </w:tblCellMar>
        </w:tblPrEx>
        <w:trPr>
          <w:trHeight w:val="397" w:hRule="exact"/>
        </w:trPr>
        <w:tc>
          <w:tcPr>
            <w:tcW w:w="90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ascii="仿宋_GB2312" w:hAnsi="宋体" w:eastAsia="仿宋_GB2312" w:cs="宋体"/>
                <w:sz w:val="24"/>
              </w:rPr>
            </w:pPr>
            <w:r>
              <w:rPr>
                <w:rFonts w:ascii="仿宋_GB2312" w:hAnsi="宋体" w:eastAsia="仿宋_GB2312"/>
                <w:sz w:val="24"/>
              </w:rPr>
              <w:t>1</w:t>
            </w:r>
          </w:p>
        </w:tc>
        <w:tc>
          <w:tcPr>
            <w:tcW w:w="39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lang w:eastAsia="zh-CN"/>
              </w:rPr>
              <w:t>淮南市医疗保障局</w:t>
            </w:r>
            <w:r>
              <w:rPr>
                <w:rFonts w:hint="eastAsia" w:ascii="仿宋_GB2312" w:hAnsi="仿宋" w:eastAsia="仿宋_GB2312" w:cs="仿宋"/>
                <w:bCs/>
                <w:sz w:val="24"/>
              </w:rPr>
              <w:t>本级</w:t>
            </w:r>
          </w:p>
        </w:tc>
        <w:tc>
          <w:tcPr>
            <w:tcW w:w="4124" w:type="dxa"/>
            <w:tcBorders>
              <w:top w:val="nil"/>
              <w:left w:val="nil"/>
              <w:bottom w:val="single" w:color="auto" w:sz="8" w:space="0"/>
              <w:right w:val="single" w:color="auto" w:sz="8" w:space="0"/>
            </w:tcBorders>
            <w:shd w:val="clear" w:color="auto" w:fill="FFFFFF"/>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rPr>
              <w:t>行政单位</w:t>
            </w:r>
          </w:p>
        </w:tc>
      </w:tr>
      <w:tr>
        <w:tblPrEx>
          <w:tblCellMar>
            <w:top w:w="0" w:type="dxa"/>
            <w:left w:w="0" w:type="dxa"/>
            <w:bottom w:w="0" w:type="dxa"/>
            <w:right w:w="0" w:type="dxa"/>
          </w:tblCellMar>
        </w:tblPrEx>
        <w:trPr>
          <w:trHeight w:val="400" w:hRule="exact"/>
        </w:trPr>
        <w:tc>
          <w:tcPr>
            <w:tcW w:w="90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ascii="仿宋_GB2312" w:hAnsi="宋体" w:eastAsia="仿宋_GB2312" w:cs="宋体"/>
                <w:sz w:val="24"/>
              </w:rPr>
            </w:pPr>
            <w:r>
              <w:rPr>
                <w:rFonts w:ascii="仿宋_GB2312" w:hAnsi="宋体" w:eastAsia="仿宋_GB2312"/>
                <w:sz w:val="24"/>
              </w:rPr>
              <w:t>2</w:t>
            </w:r>
          </w:p>
        </w:tc>
        <w:tc>
          <w:tcPr>
            <w:tcW w:w="39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rPr>
              <w:t>市</w:t>
            </w:r>
            <w:r>
              <w:rPr>
                <w:rFonts w:hint="eastAsia" w:ascii="仿宋_GB2312" w:hAnsi="仿宋" w:eastAsia="仿宋_GB2312" w:cs="仿宋"/>
                <w:bCs/>
                <w:sz w:val="24"/>
                <w:lang w:val="en-US" w:eastAsia="zh-CN"/>
              </w:rPr>
              <w:t>城镇职工基本医疗保险管理中心</w:t>
            </w:r>
          </w:p>
        </w:tc>
        <w:tc>
          <w:tcPr>
            <w:tcW w:w="4124" w:type="dxa"/>
            <w:tcBorders>
              <w:top w:val="nil"/>
              <w:left w:val="nil"/>
              <w:bottom w:val="single" w:color="auto" w:sz="8" w:space="0"/>
              <w:right w:val="single" w:color="auto" w:sz="8" w:space="0"/>
            </w:tcBorders>
            <w:shd w:val="clear" w:color="auto" w:fill="FFFFFF"/>
            <w:vAlign w:val="top"/>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lang w:val="en-US" w:eastAsia="zh-CN"/>
              </w:rPr>
              <w:t>参公事业单位</w:t>
            </w:r>
          </w:p>
        </w:tc>
      </w:tr>
      <w:tr>
        <w:tblPrEx>
          <w:tblCellMar>
            <w:top w:w="0" w:type="dxa"/>
            <w:left w:w="0" w:type="dxa"/>
            <w:bottom w:w="0" w:type="dxa"/>
            <w:right w:w="0" w:type="dxa"/>
          </w:tblCellMar>
        </w:tblPrEx>
        <w:trPr>
          <w:trHeight w:val="397" w:hRule="exact"/>
        </w:trPr>
        <w:tc>
          <w:tcPr>
            <w:tcW w:w="90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ascii="仿宋_GB2312" w:hAnsi="宋体" w:eastAsia="仿宋_GB2312" w:cs="宋体"/>
                <w:sz w:val="24"/>
              </w:rPr>
            </w:pPr>
            <w:r>
              <w:rPr>
                <w:rFonts w:ascii="仿宋_GB2312" w:hAnsi="宋体" w:eastAsia="仿宋_GB2312"/>
                <w:sz w:val="24"/>
              </w:rPr>
              <w:t>3</w:t>
            </w:r>
          </w:p>
        </w:tc>
        <w:tc>
          <w:tcPr>
            <w:tcW w:w="39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rPr>
              <w:t>市医疗</w:t>
            </w:r>
            <w:r>
              <w:rPr>
                <w:rFonts w:hint="eastAsia" w:ascii="仿宋_GB2312" w:hAnsi="仿宋" w:eastAsia="仿宋_GB2312" w:cs="仿宋"/>
                <w:bCs/>
                <w:sz w:val="24"/>
                <w:lang w:eastAsia="zh-CN"/>
              </w:rPr>
              <w:t>保障权益</w:t>
            </w:r>
            <w:r>
              <w:rPr>
                <w:rFonts w:hint="eastAsia" w:ascii="仿宋_GB2312" w:hAnsi="仿宋" w:eastAsia="仿宋_GB2312" w:cs="仿宋"/>
                <w:bCs/>
                <w:sz w:val="24"/>
              </w:rPr>
              <w:t>管理中心</w:t>
            </w:r>
          </w:p>
        </w:tc>
        <w:tc>
          <w:tcPr>
            <w:tcW w:w="4124" w:type="dxa"/>
            <w:tcBorders>
              <w:top w:val="nil"/>
              <w:left w:val="nil"/>
              <w:bottom w:val="single" w:color="auto" w:sz="8" w:space="0"/>
              <w:right w:val="single" w:color="auto" w:sz="8" w:space="0"/>
            </w:tcBorders>
            <w:shd w:val="clear" w:color="auto" w:fill="FFFFFF"/>
            <w:vAlign w:val="top"/>
          </w:tcPr>
          <w:p>
            <w:pPr>
              <w:adjustRightInd w:val="0"/>
              <w:snapToGrid w:val="0"/>
              <w:spacing w:line="360" w:lineRule="auto"/>
              <w:jc w:val="center"/>
              <w:rPr>
                <w:rFonts w:hint="default" w:ascii="仿宋_GB2312" w:hAnsi="仿宋" w:eastAsia="仿宋_GB2312" w:cs="仿宋"/>
                <w:bCs/>
                <w:sz w:val="24"/>
                <w:lang w:val="en-US" w:eastAsia="zh-CN"/>
              </w:rPr>
            </w:pPr>
            <w:r>
              <w:rPr>
                <w:rFonts w:hint="eastAsia" w:ascii="仿宋_GB2312" w:hAnsi="仿宋" w:eastAsia="仿宋_GB2312" w:cs="仿宋"/>
                <w:bCs/>
                <w:sz w:val="24"/>
              </w:rPr>
              <w:t>公益一类事业单位</w:t>
            </w:r>
          </w:p>
        </w:tc>
      </w:tr>
      <w:tr>
        <w:tblPrEx>
          <w:tblCellMar>
            <w:top w:w="0" w:type="dxa"/>
            <w:left w:w="0" w:type="dxa"/>
            <w:bottom w:w="0" w:type="dxa"/>
            <w:right w:w="0" w:type="dxa"/>
          </w:tblCellMar>
        </w:tblPrEx>
        <w:trPr>
          <w:trHeight w:val="397" w:hRule="exact"/>
        </w:trPr>
        <w:tc>
          <w:tcPr>
            <w:tcW w:w="90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ascii="仿宋_GB2312" w:hAnsi="宋体" w:eastAsia="仿宋_GB2312" w:cs="宋体"/>
                <w:sz w:val="24"/>
              </w:rPr>
            </w:pPr>
            <w:r>
              <w:rPr>
                <w:rFonts w:ascii="仿宋_GB2312" w:hAnsi="宋体" w:eastAsia="仿宋_GB2312"/>
                <w:sz w:val="24"/>
              </w:rPr>
              <w:t>4</w:t>
            </w:r>
          </w:p>
        </w:tc>
        <w:tc>
          <w:tcPr>
            <w:tcW w:w="39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lang w:eastAsia="zh-CN"/>
              </w:rPr>
              <w:t>市医疗保障信息中心</w:t>
            </w:r>
          </w:p>
        </w:tc>
        <w:tc>
          <w:tcPr>
            <w:tcW w:w="4124" w:type="dxa"/>
            <w:tcBorders>
              <w:top w:val="nil"/>
              <w:left w:val="nil"/>
              <w:bottom w:val="single" w:color="auto" w:sz="8" w:space="0"/>
              <w:right w:val="single" w:color="auto" w:sz="8" w:space="0"/>
            </w:tcBorders>
            <w:shd w:val="clear" w:color="auto" w:fill="FFFFFF"/>
            <w:vAlign w:val="top"/>
          </w:tcPr>
          <w:p>
            <w:pPr>
              <w:adjustRightInd w:val="0"/>
              <w:snapToGrid w:val="0"/>
              <w:spacing w:line="360" w:lineRule="auto"/>
              <w:jc w:val="center"/>
              <w:rPr>
                <w:rFonts w:hint="eastAsia" w:ascii="仿宋_GB2312" w:hAnsi="仿宋" w:eastAsia="仿宋_GB2312" w:cs="仿宋"/>
                <w:bCs/>
                <w:sz w:val="24"/>
              </w:rPr>
            </w:pPr>
            <w:r>
              <w:rPr>
                <w:rFonts w:hint="eastAsia" w:ascii="仿宋_GB2312" w:hAnsi="仿宋" w:eastAsia="仿宋_GB2312" w:cs="仿宋"/>
                <w:bCs/>
                <w:sz w:val="24"/>
              </w:rPr>
              <w:t>公益一类事业单位</w:t>
            </w:r>
          </w:p>
        </w:tc>
      </w:tr>
    </w:tbl>
    <w:p>
      <w:pPr>
        <w:pStyle w:val="5"/>
        <w:adjustRightInd w:val="0"/>
        <w:snapToGrid w:val="0"/>
        <w:spacing w:before="0" w:beforeAutospacing="0" w:after="0" w:afterAutospacing="0" w:line="600" w:lineRule="exact"/>
        <w:ind w:firstLine="480" w:firstLineChars="150"/>
        <w:outlineLvl w:val="0"/>
        <w:rPr>
          <w:rFonts w:ascii="黑体" w:hAnsi="黑体" w:eastAsia="黑体"/>
          <w:bCs/>
          <w:sz w:val="32"/>
          <w:szCs w:val="32"/>
        </w:rPr>
      </w:pPr>
      <w:r>
        <w:rPr>
          <w:rFonts w:hint="eastAsia" w:ascii="黑体" w:hAnsi="黑体" w:eastAsia="黑体"/>
          <w:bCs/>
          <w:sz w:val="32"/>
          <w:szCs w:val="32"/>
        </w:rPr>
        <w:t>三、</w:t>
      </w:r>
      <w:r>
        <w:rPr>
          <w:rFonts w:ascii="黑体" w:hAnsi="黑体" w:eastAsia="黑体"/>
          <w:bCs/>
          <w:sz w:val="32"/>
          <w:szCs w:val="32"/>
        </w:rPr>
        <w:t>2022</w:t>
      </w:r>
      <w:r>
        <w:rPr>
          <w:rFonts w:hint="eastAsia" w:ascii="黑体" w:hAnsi="黑体" w:eastAsia="黑体"/>
          <w:bCs/>
          <w:sz w:val="32"/>
          <w:szCs w:val="32"/>
        </w:rPr>
        <w:t>年度主要工作任务</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1.继续开展专项整治行动，始终保持打击欺诈骗保高压态势。</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2.完善监管体系，提高行政监管能力。定期组织稽核队伍专业培训，提高稽核队伍专业能力；实行智能监控全覆盖，提高打击欺诈骗保的针对性，探索将智能监管由事后向事中、事前延伸。</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3.推进诚信体系建设，促进行业自律。探索医保“黑名单”制度，建立失信惩戒制度。</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4.全面规范协议管理，实现定点医药机构协议管理“全覆盖”，加强对协议医药单位规范管理培训。</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5.进一步完善医疗保障制度和政策。</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6.加强对我市医药服务及价格监管工作。</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7.优化医保经办服务。一是做好异地就医直接结算工作。二是提升医保经办服务水平。规范经办服务管理流程，进一步优化结算方式，改善服务质量。三是继续做好投诉咨询受理和服务，做好政策解释，努力化解矛盾，解决老百姓实际问题。</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8.继续推进我市医疗保障信息系统建设。</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9.做好规划和法制工作。一是加强项目管理和绩效考核。二是加强医疗保障基金预算管理。</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10.不断加强意识形态工作。</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11.扎实做好医疗保障扶贫工作。</w:t>
      </w:r>
    </w:p>
    <w:p>
      <w:pPr>
        <w:spacing w:line="600" w:lineRule="exact"/>
        <w:ind w:firstLine="575"/>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12.坚持全面从严治党，切实全面高质量地深入推进“不忘初心、牢记使命”主题教育。</w:t>
      </w:r>
    </w:p>
    <w:p>
      <w:pPr>
        <w:pStyle w:val="5"/>
        <w:adjustRightInd w:val="0"/>
        <w:snapToGrid w:val="0"/>
        <w:spacing w:before="0" w:beforeAutospacing="0" w:after="0" w:afterAutospacing="0" w:line="360" w:lineRule="auto"/>
        <w:rPr>
          <w:rFonts w:ascii="黑体" w:hAnsi="黑体" w:eastAsia="黑体"/>
          <w:bCs/>
          <w:sz w:val="36"/>
          <w:szCs w:val="36"/>
        </w:rPr>
      </w:pPr>
    </w:p>
    <w:p>
      <w:pPr>
        <w:pStyle w:val="5"/>
        <w:adjustRightInd w:val="0"/>
        <w:snapToGrid w:val="0"/>
        <w:spacing w:before="0" w:beforeAutospacing="0" w:after="0" w:afterAutospacing="0" w:line="360" w:lineRule="auto"/>
        <w:jc w:val="center"/>
        <w:rPr>
          <w:rFonts w:hint="eastAsia" w:ascii="黑体" w:hAnsi="黑体" w:eastAsia="黑体"/>
          <w:bCs/>
          <w:sz w:val="36"/>
          <w:szCs w:val="36"/>
        </w:rPr>
      </w:pPr>
      <w:r>
        <w:rPr>
          <w:rFonts w:hint="eastAsia" w:ascii="黑体" w:hAnsi="黑体" w:eastAsia="黑体"/>
          <w:bCs/>
          <w:sz w:val="36"/>
          <w:szCs w:val="36"/>
        </w:rPr>
        <w:t>第二部分</w:t>
      </w:r>
      <w:r>
        <w:rPr>
          <w:rFonts w:ascii="黑体" w:hAnsi="黑体" w:eastAsia="黑体"/>
          <w:bCs/>
          <w:sz w:val="36"/>
          <w:szCs w:val="36"/>
        </w:rPr>
        <w:t xml:space="preserve"> 2022</w:t>
      </w:r>
      <w:r>
        <w:rPr>
          <w:rFonts w:hint="eastAsia" w:ascii="黑体" w:hAnsi="黑体" w:eastAsia="黑体"/>
          <w:bCs/>
          <w:sz w:val="36"/>
          <w:szCs w:val="36"/>
        </w:rPr>
        <w:t>年部门预算表</w:t>
      </w:r>
    </w:p>
    <w:p>
      <w:pPr>
        <w:pStyle w:val="5"/>
        <w:adjustRightInd w:val="0"/>
        <w:snapToGrid w:val="0"/>
        <w:spacing w:before="0" w:beforeAutospacing="0" w:after="0" w:afterAutospacing="0" w:line="360" w:lineRule="auto"/>
        <w:jc w:val="center"/>
        <w:rPr>
          <w:rFonts w:ascii="宋体" w:hAnsi="宋体" w:cs="宋体"/>
          <w:kern w:val="0"/>
          <w:sz w:val="20"/>
          <w:szCs w:val="20"/>
        </w:rPr>
      </w:pPr>
      <w:r>
        <w:rPr>
          <w:rFonts w:hint="eastAsia" w:ascii="仿宋_GB2312" w:hAnsi="仿宋" w:eastAsia="仿宋_GB2312" w:cs="宋体"/>
          <w:kern w:val="0"/>
          <w:sz w:val="32"/>
          <w:szCs w:val="32"/>
          <w:lang w:val="en-US" w:eastAsia="zh-CN" w:bidi="ar-SA"/>
        </w:rPr>
        <w:t xml:space="preserve"> 2022年部门预算表由11张表格构成，具体表格内容见附表。</w:t>
      </w:r>
      <w:r>
        <w:rPr>
          <w:rFonts w:ascii="宋体" w:hAnsi="宋体" w:cs="宋体"/>
          <w:kern w:val="0"/>
          <w:sz w:val="20"/>
          <w:szCs w:val="20"/>
        </w:rPr>
        <w:t xml:space="preserve">                                     </w:t>
      </w:r>
    </w:p>
    <w:p>
      <w:pPr>
        <w:pStyle w:val="5"/>
        <w:adjustRightInd w:val="0"/>
        <w:snapToGrid w:val="0"/>
        <w:spacing w:before="0" w:beforeAutospacing="0" w:after="0" w:afterAutospacing="0" w:line="600" w:lineRule="exact"/>
        <w:jc w:val="center"/>
        <w:rPr>
          <w:rFonts w:hint="eastAsia" w:ascii="黑体" w:hAnsi="黑体" w:eastAsia="黑体"/>
          <w:bCs/>
          <w:sz w:val="36"/>
          <w:szCs w:val="36"/>
        </w:rPr>
      </w:pPr>
    </w:p>
    <w:p>
      <w:pPr>
        <w:pStyle w:val="5"/>
        <w:adjustRightInd w:val="0"/>
        <w:snapToGrid w:val="0"/>
        <w:spacing w:before="0" w:beforeAutospacing="0" w:after="0" w:afterAutospacing="0" w:line="600" w:lineRule="exact"/>
        <w:jc w:val="center"/>
        <w:rPr>
          <w:rFonts w:ascii="黑体" w:hAnsi="黑体" w:eastAsia="黑体"/>
          <w:bCs/>
          <w:sz w:val="32"/>
          <w:szCs w:val="32"/>
        </w:rPr>
      </w:pPr>
      <w:r>
        <w:rPr>
          <w:rFonts w:hint="eastAsia" w:ascii="黑体" w:hAnsi="黑体" w:eastAsia="黑体"/>
          <w:bCs/>
          <w:sz w:val="36"/>
          <w:szCs w:val="36"/>
        </w:rPr>
        <w:t>第三部分</w:t>
      </w:r>
      <w:r>
        <w:rPr>
          <w:rFonts w:ascii="黑体" w:hAnsi="黑体" w:eastAsia="黑体"/>
          <w:bCs/>
          <w:sz w:val="36"/>
          <w:szCs w:val="36"/>
        </w:rPr>
        <w:t xml:space="preserve"> 2022</w:t>
      </w:r>
      <w:r>
        <w:rPr>
          <w:rFonts w:hint="eastAsia" w:ascii="黑体" w:hAnsi="黑体" w:eastAsia="黑体"/>
          <w:bCs/>
          <w:sz w:val="36"/>
          <w:szCs w:val="36"/>
        </w:rPr>
        <w:t>年部门预算情况说明</w:t>
      </w:r>
    </w:p>
    <w:p>
      <w:pPr>
        <w:pStyle w:val="5"/>
        <w:adjustRightInd w:val="0"/>
        <w:snapToGrid w:val="0"/>
        <w:spacing w:before="0" w:beforeAutospacing="0" w:after="0" w:afterAutospacing="0" w:line="600" w:lineRule="exact"/>
        <w:ind w:firstLine="640" w:firstLineChars="200"/>
        <w:rPr>
          <w:rFonts w:ascii="黑体" w:hAnsi="仿宋" w:eastAsia="黑体"/>
          <w:color w:val="000000"/>
          <w:sz w:val="32"/>
          <w:szCs w:val="32"/>
        </w:rPr>
      </w:pPr>
      <w:r>
        <w:rPr>
          <w:rFonts w:hint="eastAsia" w:ascii="黑体" w:hAnsi="仿宋" w:eastAsia="黑体"/>
          <w:color w:val="000000"/>
          <w:sz w:val="32"/>
          <w:szCs w:val="32"/>
        </w:rPr>
        <w:t>一、关于</w:t>
      </w:r>
      <w:r>
        <w:rPr>
          <w:rFonts w:ascii="黑体" w:hAnsi="仿宋" w:eastAsia="黑体"/>
          <w:color w:val="000000"/>
          <w:sz w:val="32"/>
          <w:szCs w:val="32"/>
        </w:rPr>
        <w:t>2022</w:t>
      </w:r>
      <w:r>
        <w:rPr>
          <w:rFonts w:hint="eastAsia" w:ascii="黑体" w:hAnsi="仿宋" w:eastAsia="黑体"/>
          <w:color w:val="000000"/>
          <w:sz w:val="32"/>
          <w:szCs w:val="32"/>
        </w:rPr>
        <w:t>年收支总表的说明</w:t>
      </w:r>
    </w:p>
    <w:p>
      <w:pPr>
        <w:pStyle w:val="5"/>
        <w:adjustRightInd w:val="0"/>
        <w:snapToGrid w:val="0"/>
        <w:spacing w:before="0" w:beforeAutospacing="0" w:after="0" w:afterAutospacing="0" w:line="600" w:lineRule="exact"/>
        <w:ind w:firstLine="627" w:firstLineChars="196"/>
        <w:jc w:val="both"/>
        <w:rPr>
          <w:rFonts w:ascii="仿宋_GB2312" w:hAnsi="仿宋" w:eastAsia="仿宋_GB2312"/>
          <w:sz w:val="32"/>
          <w:szCs w:val="32"/>
        </w:rPr>
      </w:pPr>
      <w:r>
        <w:rPr>
          <w:rFonts w:hint="eastAsia" w:ascii="仿宋_GB2312" w:hAnsi="仿宋" w:eastAsia="仿宋_GB2312"/>
          <w:sz w:val="32"/>
          <w:szCs w:val="32"/>
        </w:rPr>
        <w:t>按照综合预算的原则，</w:t>
      </w:r>
      <w:r>
        <w:rPr>
          <w:rFonts w:hint="eastAsia" w:ascii="仿宋_GB2312" w:hAnsi="仿宋" w:eastAsia="仿宋_GB2312"/>
          <w:sz w:val="32"/>
          <w:szCs w:val="32"/>
          <w:lang w:eastAsia="zh-CN"/>
        </w:rPr>
        <w:t>淮南市医疗保障局</w:t>
      </w:r>
      <w:r>
        <w:rPr>
          <w:rFonts w:hint="eastAsia" w:ascii="仿宋_GB2312" w:hAnsi="仿宋" w:eastAsia="仿宋_GB2312"/>
          <w:sz w:val="32"/>
          <w:szCs w:val="32"/>
        </w:rPr>
        <w:t>所有收入和支出均纳入部门预算管理。</w:t>
      </w:r>
      <w:r>
        <w:rPr>
          <w:rFonts w:hint="eastAsia" w:ascii="仿宋_GB2312" w:hAnsi="仿宋" w:eastAsia="仿宋_GB2312"/>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年收支总预算</w:t>
      </w:r>
      <w:r>
        <w:rPr>
          <w:rFonts w:hint="eastAsia" w:ascii="仿宋_GB2312" w:hAnsi="仿宋" w:eastAsia="仿宋_GB2312"/>
          <w:sz w:val="32"/>
          <w:szCs w:val="32"/>
          <w:lang w:val="en-US" w:eastAsia="zh-CN"/>
        </w:rPr>
        <w:t>6280.3</w:t>
      </w:r>
      <w:r>
        <w:rPr>
          <w:rFonts w:hint="eastAsia" w:ascii="仿宋_GB2312" w:hAnsi="仿宋" w:eastAsia="仿宋_GB2312"/>
          <w:sz w:val="32"/>
          <w:szCs w:val="32"/>
        </w:rPr>
        <w:t>万元，收入包括一般公共预算拨款收入</w:t>
      </w:r>
      <w:r>
        <w:rPr>
          <w:rFonts w:hint="eastAsia" w:ascii="仿宋_GB2312" w:hAnsi="仿宋" w:eastAsia="仿宋_GB2312"/>
          <w:sz w:val="32"/>
          <w:szCs w:val="32"/>
          <w:lang w:val="en-US" w:eastAsia="zh-CN"/>
        </w:rPr>
        <w:t>6280.3万元</w:t>
      </w:r>
      <w:r>
        <w:rPr>
          <w:rFonts w:hint="eastAsia" w:ascii="仿宋_GB2312" w:hAnsi="仿宋" w:eastAsia="仿宋_GB2312"/>
          <w:sz w:val="32"/>
          <w:szCs w:val="32"/>
        </w:rPr>
        <w:t>，支出包括：社会保障和就业支出</w:t>
      </w:r>
      <w:r>
        <w:rPr>
          <w:rFonts w:hint="eastAsia" w:ascii="仿宋_GB2312" w:hAnsi="仿宋" w:eastAsia="仿宋_GB2312"/>
          <w:sz w:val="32"/>
          <w:szCs w:val="32"/>
          <w:lang w:val="en-US" w:eastAsia="zh-CN"/>
        </w:rPr>
        <w:t>287.21</w:t>
      </w:r>
      <w:r>
        <w:rPr>
          <w:rFonts w:hint="eastAsia" w:ascii="仿宋_GB2312" w:hAnsi="仿宋" w:eastAsia="仿宋_GB2312"/>
          <w:sz w:val="32"/>
          <w:szCs w:val="32"/>
        </w:rPr>
        <w:t>万元、卫生健康支出</w:t>
      </w:r>
      <w:r>
        <w:rPr>
          <w:rFonts w:hint="eastAsia" w:ascii="仿宋_GB2312" w:hAnsi="仿宋" w:eastAsia="仿宋_GB2312"/>
          <w:sz w:val="32"/>
          <w:szCs w:val="32"/>
          <w:lang w:val="en-US" w:eastAsia="zh-CN"/>
        </w:rPr>
        <w:t>5928.88</w:t>
      </w:r>
      <w:r>
        <w:rPr>
          <w:rFonts w:hint="eastAsia" w:ascii="仿宋_GB2312" w:hAnsi="仿宋" w:eastAsia="仿宋_GB2312"/>
          <w:sz w:val="32"/>
          <w:szCs w:val="32"/>
        </w:rPr>
        <w:t>万元、住房保障支出</w:t>
      </w:r>
      <w:r>
        <w:rPr>
          <w:rFonts w:hint="eastAsia" w:ascii="仿宋_GB2312" w:hAnsi="仿宋" w:eastAsia="仿宋_GB2312"/>
          <w:sz w:val="32"/>
          <w:szCs w:val="32"/>
          <w:lang w:val="en-US" w:eastAsia="zh-CN"/>
        </w:rPr>
        <w:t>64.21</w:t>
      </w:r>
      <w:r>
        <w:rPr>
          <w:rFonts w:hint="eastAsia" w:ascii="仿宋_GB2312" w:hAnsi="仿宋" w:eastAsia="仿宋_GB2312"/>
          <w:sz w:val="32"/>
          <w:szCs w:val="32"/>
        </w:rPr>
        <w:t>万元。</w:t>
      </w:r>
    </w:p>
    <w:p>
      <w:pPr>
        <w:pStyle w:val="5"/>
        <w:adjustRightInd w:val="0"/>
        <w:snapToGrid w:val="0"/>
        <w:spacing w:before="0" w:beforeAutospacing="0" w:after="0" w:afterAutospacing="0" w:line="600" w:lineRule="exact"/>
        <w:ind w:firstLine="627" w:firstLineChars="196"/>
        <w:rPr>
          <w:rFonts w:ascii="黑体" w:hAnsi="仿宋" w:eastAsia="黑体"/>
          <w:color w:val="000000"/>
          <w:sz w:val="32"/>
          <w:szCs w:val="32"/>
        </w:rPr>
      </w:pPr>
      <w:r>
        <w:rPr>
          <w:rFonts w:hint="eastAsia" w:ascii="黑体" w:hAnsi="仿宋" w:eastAsia="黑体"/>
          <w:color w:val="000000"/>
          <w:sz w:val="32"/>
          <w:szCs w:val="32"/>
        </w:rPr>
        <w:t>二、关于</w:t>
      </w:r>
      <w:r>
        <w:rPr>
          <w:rFonts w:ascii="黑体" w:hAnsi="仿宋" w:eastAsia="黑体"/>
          <w:color w:val="000000"/>
          <w:sz w:val="32"/>
          <w:szCs w:val="32"/>
        </w:rPr>
        <w:t>2022</w:t>
      </w:r>
      <w:r>
        <w:rPr>
          <w:rFonts w:hint="eastAsia" w:ascii="黑体" w:hAnsi="仿宋" w:eastAsia="黑体"/>
          <w:color w:val="000000"/>
          <w:sz w:val="32"/>
          <w:szCs w:val="32"/>
        </w:rPr>
        <w:t>年收入总表的说明</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cs="宋体"/>
          <w:kern w:val="0"/>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年收入预算</w:t>
      </w:r>
      <w:r>
        <w:rPr>
          <w:rFonts w:hint="eastAsia" w:ascii="仿宋_GB2312" w:hAnsi="仿宋" w:eastAsia="仿宋_GB2312"/>
          <w:sz w:val="32"/>
          <w:szCs w:val="32"/>
          <w:lang w:val="en-US" w:eastAsia="zh-CN"/>
        </w:rPr>
        <w:t>6280.3</w:t>
      </w:r>
      <w:r>
        <w:rPr>
          <w:rFonts w:hint="eastAsia" w:ascii="仿宋_GB2312" w:hAnsi="仿宋" w:eastAsia="仿宋_GB2312"/>
          <w:sz w:val="32"/>
          <w:szCs w:val="32"/>
        </w:rPr>
        <w:t>万元，其中，本年收入</w:t>
      </w:r>
      <w:r>
        <w:rPr>
          <w:rFonts w:hint="eastAsia" w:ascii="仿宋_GB2312" w:hAnsi="仿宋" w:eastAsia="仿宋_GB2312"/>
          <w:sz w:val="32"/>
          <w:szCs w:val="32"/>
          <w:lang w:val="en-US" w:eastAsia="zh-CN"/>
        </w:rPr>
        <w:t>5477.34</w:t>
      </w:r>
      <w:r>
        <w:rPr>
          <w:rFonts w:hint="eastAsia" w:ascii="仿宋_GB2312" w:hAnsi="仿宋" w:eastAsia="仿宋_GB2312"/>
          <w:sz w:val="32"/>
          <w:szCs w:val="32"/>
        </w:rPr>
        <w:t>万元，上年结转结余</w:t>
      </w:r>
      <w:r>
        <w:rPr>
          <w:rFonts w:hint="eastAsia" w:ascii="仿宋_GB2312" w:hAnsi="仿宋" w:eastAsia="仿宋_GB2312"/>
          <w:sz w:val="32"/>
          <w:szCs w:val="32"/>
          <w:lang w:val="en-US" w:eastAsia="zh-CN"/>
        </w:rPr>
        <w:t>802.96</w:t>
      </w:r>
      <w:r>
        <w:rPr>
          <w:rFonts w:hint="eastAsia" w:ascii="仿宋_GB2312" w:hAnsi="仿宋" w:eastAsia="仿宋_GB2312"/>
          <w:sz w:val="32"/>
          <w:szCs w:val="32"/>
        </w:rPr>
        <w:t>万元。</w:t>
      </w:r>
    </w:p>
    <w:p>
      <w:pPr>
        <w:adjustRightInd w:val="0"/>
        <w:snapToGrid w:val="0"/>
        <w:spacing w:line="60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（一）本年收入</w:t>
      </w:r>
      <w:r>
        <w:rPr>
          <w:rFonts w:hint="eastAsia" w:ascii="仿宋_GB2312" w:hAnsi="仿宋" w:eastAsia="仿宋_GB2312"/>
          <w:sz w:val="32"/>
          <w:szCs w:val="32"/>
          <w:lang w:val="en-US" w:eastAsia="zh-CN"/>
        </w:rPr>
        <w:t>5477.34</w:t>
      </w:r>
      <w:r>
        <w:rPr>
          <w:rFonts w:hint="eastAsia" w:ascii="仿宋_GB2312" w:hAnsi="仿宋" w:eastAsia="仿宋_GB2312"/>
          <w:sz w:val="32"/>
          <w:szCs w:val="32"/>
        </w:rPr>
        <w:t>万元，全部为一般公共预算拨款收入</w:t>
      </w:r>
      <w:r>
        <w:rPr>
          <w:rFonts w:hint="eastAsia" w:ascii="仿宋_GB2312" w:hAnsi="仿宋" w:eastAsia="仿宋_GB2312"/>
          <w:sz w:val="32"/>
          <w:szCs w:val="32"/>
          <w:lang w:val="en-US" w:eastAsia="zh-CN"/>
        </w:rPr>
        <w:t>5477.34</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186.19</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3.52</w:t>
      </w:r>
      <w:r>
        <w:rPr>
          <w:rFonts w:ascii="仿宋_GB2312" w:hAnsi="仿宋" w:eastAsia="仿宋_GB2312"/>
          <w:sz w:val="32"/>
          <w:szCs w:val="32"/>
        </w:rPr>
        <w:t>%</w:t>
      </w:r>
      <w:r>
        <w:rPr>
          <w:rFonts w:hint="eastAsia" w:ascii="仿宋_GB2312" w:hAnsi="仿宋" w:eastAsia="仿宋_GB2312"/>
          <w:sz w:val="32"/>
          <w:szCs w:val="32"/>
        </w:rPr>
        <w:t>，增长原因主要是一般公共预算拨款</w:t>
      </w:r>
      <w:r>
        <w:rPr>
          <w:rFonts w:hint="eastAsia" w:ascii="仿宋_GB2312" w:hAnsi="仿宋" w:eastAsia="仿宋_GB2312"/>
          <w:sz w:val="32"/>
          <w:szCs w:val="32"/>
          <w:lang w:eastAsia="zh-CN"/>
        </w:rPr>
        <w:t>下属部门</w:t>
      </w:r>
      <w:r>
        <w:rPr>
          <w:rFonts w:hint="eastAsia" w:ascii="仿宋_GB2312" w:hAnsi="仿宋" w:eastAsia="仿宋_GB2312"/>
          <w:sz w:val="32"/>
          <w:szCs w:val="32"/>
        </w:rPr>
        <w:t>收入</w:t>
      </w:r>
      <w:r>
        <w:rPr>
          <w:rFonts w:hint="eastAsia" w:ascii="仿宋_GB2312" w:hAnsi="仿宋" w:eastAsia="仿宋_GB2312"/>
          <w:sz w:val="32"/>
          <w:szCs w:val="32"/>
          <w:lang w:eastAsia="zh-CN"/>
        </w:rPr>
        <w:t>增加</w:t>
      </w:r>
      <w:r>
        <w:rPr>
          <w:rFonts w:hint="eastAsia" w:ascii="仿宋_GB2312" w:hAnsi="仿宋" w:eastAsia="仿宋_GB2312"/>
          <w:sz w:val="32"/>
          <w:szCs w:val="32"/>
        </w:rPr>
        <w:t>。</w:t>
      </w:r>
    </w:p>
    <w:p>
      <w:pPr>
        <w:adjustRightInd w:val="0"/>
        <w:snapToGrid w:val="0"/>
        <w:spacing w:line="600" w:lineRule="exact"/>
        <w:ind w:firstLine="640" w:firstLineChars="200"/>
        <w:rPr>
          <w:rFonts w:ascii="仿宋_GB2312" w:hAnsi="仿宋" w:eastAsia="楷体_GB2312"/>
          <w:sz w:val="32"/>
          <w:szCs w:val="32"/>
        </w:rPr>
      </w:pPr>
      <w:r>
        <w:rPr>
          <w:rFonts w:hint="eastAsia" w:ascii="仿宋_GB2312" w:hAnsi="仿宋" w:eastAsia="仿宋_GB2312"/>
          <w:sz w:val="32"/>
          <w:szCs w:val="32"/>
        </w:rPr>
        <w:t>（二）上年结转结余</w:t>
      </w:r>
      <w:r>
        <w:rPr>
          <w:rFonts w:hint="eastAsia" w:ascii="仿宋_GB2312" w:hAnsi="仿宋" w:eastAsia="仿宋_GB2312"/>
          <w:sz w:val="32"/>
          <w:szCs w:val="32"/>
          <w:lang w:val="en-US" w:eastAsia="zh-CN"/>
        </w:rPr>
        <w:t>802.96</w:t>
      </w:r>
      <w:r>
        <w:rPr>
          <w:rFonts w:hint="eastAsia" w:ascii="仿宋_GB2312" w:hAnsi="仿宋" w:eastAsia="仿宋_GB2312"/>
          <w:sz w:val="32"/>
          <w:szCs w:val="32"/>
        </w:rPr>
        <w:t>万元，全部为一般公共预算拨款收入</w:t>
      </w:r>
      <w:r>
        <w:rPr>
          <w:rFonts w:hint="eastAsia" w:ascii="仿宋_GB2312" w:hAnsi="仿宋" w:eastAsia="仿宋_GB2312"/>
          <w:sz w:val="32"/>
          <w:szCs w:val="32"/>
          <w:lang w:val="en-US" w:eastAsia="zh-CN"/>
        </w:rPr>
        <w:t>802.96</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802.96</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，增长原因主要是</w:t>
      </w:r>
      <w:r>
        <w:rPr>
          <w:rFonts w:hint="eastAsia" w:ascii="仿宋_GB2312" w:hAnsi="仿宋" w:eastAsia="仿宋_GB2312"/>
          <w:sz w:val="32"/>
          <w:szCs w:val="32"/>
          <w:lang w:eastAsia="zh-CN"/>
        </w:rPr>
        <w:t>转移支付资金</w:t>
      </w:r>
      <w:r>
        <w:rPr>
          <w:rFonts w:hint="eastAsia" w:ascii="仿宋_GB2312" w:hAnsi="仿宋" w:eastAsia="仿宋_GB2312"/>
          <w:sz w:val="32"/>
          <w:szCs w:val="32"/>
        </w:rPr>
        <w:t>结转结余</w:t>
      </w:r>
      <w:r>
        <w:rPr>
          <w:rFonts w:hint="eastAsia" w:ascii="仿宋_GB2312" w:hAnsi="仿宋" w:eastAsia="仿宋_GB2312"/>
          <w:sz w:val="32"/>
          <w:szCs w:val="32"/>
          <w:lang w:eastAsia="zh-CN"/>
        </w:rPr>
        <w:t>增加</w:t>
      </w:r>
      <w:r>
        <w:rPr>
          <w:rFonts w:hint="eastAsia" w:ascii="仿宋_GB2312" w:hAnsi="仿宋" w:eastAsia="仿宋_GB2312"/>
          <w:sz w:val="32"/>
          <w:szCs w:val="32"/>
        </w:rPr>
        <w:t>。</w:t>
      </w:r>
    </w:p>
    <w:p>
      <w:pPr>
        <w:adjustRightInd w:val="0"/>
        <w:snapToGrid w:val="0"/>
        <w:spacing w:line="600" w:lineRule="exact"/>
        <w:ind w:firstLine="640" w:firstLineChars="200"/>
        <w:rPr>
          <w:rFonts w:ascii="黑体" w:hAnsi="仿宋" w:eastAsia="黑体" w:cs="宋体"/>
          <w:color w:val="000000"/>
          <w:kern w:val="0"/>
          <w:sz w:val="32"/>
          <w:szCs w:val="32"/>
        </w:rPr>
      </w:pPr>
      <w:r>
        <w:rPr>
          <w:rFonts w:hint="eastAsia" w:ascii="黑体" w:hAnsi="仿宋" w:eastAsia="黑体" w:cs="宋体"/>
          <w:color w:val="000000"/>
          <w:kern w:val="0"/>
          <w:sz w:val="32"/>
          <w:szCs w:val="32"/>
        </w:rPr>
        <w:t>三、关于</w:t>
      </w:r>
      <w:r>
        <w:rPr>
          <w:rFonts w:ascii="黑体" w:hAnsi="仿宋" w:eastAsia="黑体" w:cs="宋体"/>
          <w:color w:val="000000"/>
          <w:kern w:val="0"/>
          <w:sz w:val="32"/>
          <w:szCs w:val="32"/>
        </w:rPr>
        <w:t>2022</w:t>
      </w:r>
      <w:r>
        <w:rPr>
          <w:rFonts w:hint="eastAsia" w:ascii="黑体" w:hAnsi="仿宋" w:eastAsia="黑体" w:cs="宋体"/>
          <w:color w:val="000000"/>
          <w:kern w:val="0"/>
          <w:sz w:val="32"/>
          <w:szCs w:val="32"/>
        </w:rPr>
        <w:t>年支出总表的说明</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年支出预算</w:t>
      </w:r>
      <w:r>
        <w:rPr>
          <w:rFonts w:hint="eastAsia" w:ascii="仿宋_GB2312" w:hAnsi="仿宋" w:eastAsia="仿宋_GB2312"/>
          <w:sz w:val="32"/>
          <w:szCs w:val="32"/>
          <w:lang w:val="en-US" w:eastAsia="zh-CN"/>
        </w:rPr>
        <w:t>6280.3</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989.15</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18.69</w:t>
      </w:r>
      <w:r>
        <w:rPr>
          <w:rFonts w:ascii="仿宋_GB2312" w:hAnsi="仿宋" w:eastAsia="仿宋_GB2312"/>
          <w:sz w:val="32"/>
          <w:szCs w:val="32"/>
        </w:rPr>
        <w:t>%</w:t>
      </w:r>
      <w:r>
        <w:rPr>
          <w:rFonts w:hint="eastAsia" w:ascii="仿宋_GB2312" w:hAnsi="仿宋" w:eastAsia="仿宋_GB2312"/>
          <w:sz w:val="32"/>
          <w:szCs w:val="32"/>
        </w:rPr>
        <w:t>，增长原因主要是一般公共预算拨款</w:t>
      </w:r>
      <w:r>
        <w:rPr>
          <w:rFonts w:hint="eastAsia" w:ascii="仿宋_GB2312" w:hAnsi="仿宋" w:eastAsia="仿宋_GB2312"/>
          <w:sz w:val="32"/>
          <w:szCs w:val="32"/>
          <w:lang w:eastAsia="zh-CN"/>
        </w:rPr>
        <w:t>下属部门支出增加</w:t>
      </w:r>
      <w:r>
        <w:rPr>
          <w:rFonts w:hint="eastAsia" w:ascii="仿宋_GB2312" w:hAnsi="仿宋" w:eastAsia="仿宋_GB2312"/>
          <w:sz w:val="32"/>
          <w:szCs w:val="32"/>
        </w:rPr>
        <w:t>。其中，基本支出</w:t>
      </w:r>
      <w:r>
        <w:rPr>
          <w:rFonts w:hint="eastAsia" w:ascii="仿宋_GB2312" w:hAnsi="仿宋" w:eastAsia="仿宋_GB2312"/>
          <w:sz w:val="32"/>
          <w:szCs w:val="32"/>
          <w:lang w:val="en-US" w:eastAsia="zh-CN"/>
        </w:rPr>
        <w:t>582.14</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9.27</w:t>
      </w:r>
      <w:r>
        <w:rPr>
          <w:rFonts w:ascii="仿宋_GB2312" w:hAnsi="仿宋" w:eastAsia="仿宋_GB2312"/>
          <w:sz w:val="32"/>
          <w:szCs w:val="32"/>
        </w:rPr>
        <w:t>%</w:t>
      </w:r>
      <w:r>
        <w:rPr>
          <w:rFonts w:hint="eastAsia" w:ascii="仿宋_GB2312" w:hAnsi="仿宋" w:eastAsia="仿宋_GB2312"/>
          <w:sz w:val="32"/>
          <w:szCs w:val="32"/>
        </w:rPr>
        <w:t>，主要用于保障机构日常运转、完成日常工作任务工资福利支出</w:t>
      </w:r>
      <w:r>
        <w:rPr>
          <w:rFonts w:hint="eastAsia" w:ascii="仿宋_GB2312" w:hAnsi="仿宋" w:eastAsia="仿宋_GB2312"/>
          <w:sz w:val="32"/>
          <w:szCs w:val="32"/>
          <w:lang w:eastAsia="zh-CN"/>
        </w:rPr>
        <w:t>和对个人和家庭的补助支出</w:t>
      </w:r>
      <w:r>
        <w:rPr>
          <w:rFonts w:hint="eastAsia" w:ascii="仿宋_GB2312" w:hAnsi="仿宋" w:eastAsia="仿宋_GB2312"/>
          <w:sz w:val="32"/>
          <w:szCs w:val="32"/>
        </w:rPr>
        <w:t>；项目支出</w:t>
      </w:r>
      <w:r>
        <w:rPr>
          <w:rFonts w:hint="eastAsia" w:ascii="仿宋_GB2312" w:hAnsi="仿宋" w:eastAsia="仿宋_GB2312"/>
          <w:sz w:val="32"/>
          <w:szCs w:val="32"/>
          <w:lang w:val="en-US" w:eastAsia="zh-CN"/>
        </w:rPr>
        <w:t>5698.16</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90.73</w:t>
      </w:r>
      <w:r>
        <w:rPr>
          <w:rFonts w:ascii="仿宋_GB2312" w:hAnsi="仿宋" w:eastAsia="仿宋_GB2312"/>
          <w:sz w:val="32"/>
          <w:szCs w:val="32"/>
        </w:rPr>
        <w:t>%</w:t>
      </w:r>
      <w:r>
        <w:rPr>
          <w:rFonts w:hint="eastAsia" w:ascii="仿宋_GB2312" w:hAnsi="仿宋" w:eastAsia="仿宋_GB2312"/>
          <w:sz w:val="32"/>
          <w:szCs w:val="32"/>
        </w:rPr>
        <w:t>，主要用于一般行政管理事务</w:t>
      </w:r>
      <w:r>
        <w:rPr>
          <w:rFonts w:hint="eastAsia" w:ascii="仿宋_GB2312" w:hAnsi="仿宋" w:eastAsia="仿宋_GB2312"/>
          <w:sz w:val="32"/>
          <w:szCs w:val="32"/>
          <w:lang w:eastAsia="zh-CN"/>
        </w:rPr>
        <w:t>支出</w:t>
      </w:r>
      <w:r>
        <w:rPr>
          <w:rFonts w:hint="eastAsia" w:ascii="仿宋_GB2312" w:hAnsi="仿宋" w:eastAsia="仿宋_GB2312"/>
          <w:sz w:val="32"/>
          <w:szCs w:val="32"/>
        </w:rPr>
        <w:t>。</w:t>
      </w:r>
    </w:p>
    <w:p>
      <w:pPr>
        <w:adjustRightInd w:val="0"/>
        <w:snapToGrid w:val="0"/>
        <w:spacing w:line="600" w:lineRule="exact"/>
        <w:ind w:firstLine="640" w:firstLineChars="200"/>
        <w:rPr>
          <w:rFonts w:ascii="黑体" w:hAnsi="仿宋" w:eastAsia="黑体" w:cs="宋体"/>
          <w:color w:val="000000"/>
          <w:kern w:val="0"/>
          <w:sz w:val="32"/>
          <w:szCs w:val="32"/>
        </w:rPr>
      </w:pPr>
      <w:r>
        <w:rPr>
          <w:rFonts w:hint="eastAsia" w:ascii="黑体" w:hAnsi="仿宋" w:eastAsia="黑体" w:cs="宋体"/>
          <w:color w:val="000000"/>
          <w:kern w:val="0"/>
          <w:sz w:val="32"/>
          <w:szCs w:val="32"/>
        </w:rPr>
        <w:t>四、关于</w:t>
      </w:r>
      <w:r>
        <w:rPr>
          <w:rFonts w:ascii="黑体" w:hAnsi="仿宋" w:eastAsia="黑体" w:cs="宋体"/>
          <w:color w:val="000000"/>
          <w:kern w:val="0"/>
          <w:sz w:val="32"/>
          <w:szCs w:val="32"/>
        </w:rPr>
        <w:t>2022</w:t>
      </w:r>
      <w:r>
        <w:rPr>
          <w:rFonts w:hint="eastAsia" w:ascii="黑体" w:hAnsi="仿宋" w:eastAsia="黑体" w:cs="宋体"/>
          <w:color w:val="000000"/>
          <w:kern w:val="0"/>
          <w:sz w:val="32"/>
          <w:szCs w:val="32"/>
        </w:rPr>
        <w:t>年财政拨款收支总表的说明</w:t>
      </w:r>
    </w:p>
    <w:p>
      <w:pPr>
        <w:pStyle w:val="5"/>
        <w:adjustRightInd w:val="0"/>
        <w:snapToGrid w:val="0"/>
        <w:spacing w:before="0" w:beforeAutospacing="0" w:after="0" w:afterAutospacing="0" w:line="600" w:lineRule="exact"/>
        <w:ind w:firstLine="640" w:firstLineChars="200"/>
        <w:rPr>
          <w:rFonts w:ascii="仿宋_GB2312" w:hAnsi="仿宋" w:eastAsia="仿宋_GB2312" w:cs="Times New Roman"/>
          <w:kern w:val="2"/>
          <w:sz w:val="32"/>
          <w:szCs w:val="32"/>
        </w:rPr>
      </w:pPr>
      <w:r>
        <w:rPr>
          <w:rFonts w:hint="eastAsia" w:ascii="仿宋_GB2312" w:hAnsi="仿宋" w:eastAsia="仿宋_GB2312" w:cs="Times New Roman"/>
          <w:kern w:val="2"/>
          <w:sz w:val="32"/>
          <w:szCs w:val="32"/>
          <w:lang w:eastAsia="zh-CN"/>
        </w:rPr>
        <w:t>淮南市医疗保障局</w:t>
      </w:r>
      <w:r>
        <w:rPr>
          <w:rFonts w:ascii="仿宋_GB2312" w:hAnsi="仿宋" w:eastAsia="仿宋_GB2312" w:cs="Times New Roman"/>
          <w:kern w:val="2"/>
          <w:sz w:val="32"/>
          <w:szCs w:val="32"/>
        </w:rPr>
        <w:t>2022</w:t>
      </w:r>
      <w:r>
        <w:rPr>
          <w:rFonts w:hint="eastAsia" w:ascii="仿宋_GB2312" w:hAnsi="仿宋" w:eastAsia="仿宋_GB2312" w:cs="Times New Roman"/>
          <w:kern w:val="2"/>
          <w:sz w:val="32"/>
          <w:szCs w:val="32"/>
        </w:rPr>
        <w:t>年财政拨款收支预算</w:t>
      </w:r>
      <w:r>
        <w:rPr>
          <w:rFonts w:hint="eastAsia" w:ascii="仿宋_GB2312" w:hAnsi="仿宋" w:eastAsia="仿宋_GB2312" w:cs="Times New Roman"/>
          <w:kern w:val="2"/>
          <w:sz w:val="32"/>
          <w:szCs w:val="32"/>
          <w:lang w:val="en-US" w:eastAsia="zh-CN"/>
        </w:rPr>
        <w:t>6280.3</w:t>
      </w:r>
      <w:r>
        <w:rPr>
          <w:rFonts w:hint="eastAsia" w:ascii="仿宋_GB2312" w:hAnsi="仿宋" w:eastAsia="仿宋_GB2312" w:cs="Times New Roman"/>
          <w:kern w:val="2"/>
          <w:sz w:val="32"/>
          <w:szCs w:val="32"/>
        </w:rPr>
        <w:t>万元。收入按资金来源分为：一般公共预算拨款</w:t>
      </w:r>
      <w:r>
        <w:rPr>
          <w:rFonts w:hint="eastAsia" w:ascii="仿宋_GB2312" w:hAnsi="仿宋" w:eastAsia="仿宋_GB2312" w:cs="Times New Roman"/>
          <w:kern w:val="2"/>
          <w:sz w:val="32"/>
          <w:szCs w:val="32"/>
          <w:lang w:val="en-US" w:eastAsia="zh-CN"/>
        </w:rPr>
        <w:t>6280.3</w:t>
      </w:r>
      <w:r>
        <w:rPr>
          <w:rFonts w:hint="eastAsia" w:ascii="仿宋_GB2312" w:hAnsi="仿宋" w:eastAsia="仿宋_GB2312" w:cs="Times New Roman"/>
          <w:kern w:val="2"/>
          <w:sz w:val="32"/>
          <w:szCs w:val="32"/>
        </w:rPr>
        <w:t>万元、；按资金年度分为：本年财政拨款收入</w:t>
      </w:r>
      <w:r>
        <w:rPr>
          <w:rFonts w:hint="eastAsia" w:ascii="仿宋_GB2312" w:hAnsi="仿宋" w:eastAsia="仿宋_GB2312" w:cs="Times New Roman"/>
          <w:kern w:val="2"/>
          <w:sz w:val="32"/>
          <w:szCs w:val="32"/>
          <w:lang w:val="en-US" w:eastAsia="zh-CN"/>
        </w:rPr>
        <w:t>5477.34</w:t>
      </w:r>
      <w:r>
        <w:rPr>
          <w:rFonts w:hint="eastAsia" w:ascii="仿宋_GB2312" w:hAnsi="仿宋" w:eastAsia="仿宋_GB2312" w:cs="Times New Roman"/>
          <w:kern w:val="2"/>
          <w:sz w:val="32"/>
          <w:szCs w:val="32"/>
        </w:rPr>
        <w:t>万元，上年结转收入</w:t>
      </w:r>
      <w:r>
        <w:rPr>
          <w:rFonts w:hint="eastAsia" w:ascii="仿宋_GB2312" w:hAnsi="仿宋" w:eastAsia="仿宋_GB2312" w:cs="Times New Roman"/>
          <w:kern w:val="2"/>
          <w:sz w:val="32"/>
          <w:szCs w:val="32"/>
          <w:lang w:val="en-US" w:eastAsia="zh-CN"/>
        </w:rPr>
        <w:t>802.96</w:t>
      </w:r>
      <w:r>
        <w:rPr>
          <w:rFonts w:hint="eastAsia" w:ascii="仿宋_GB2312" w:hAnsi="仿宋" w:eastAsia="仿宋_GB2312" w:cs="Times New Roman"/>
          <w:kern w:val="2"/>
          <w:sz w:val="32"/>
          <w:szCs w:val="32"/>
        </w:rPr>
        <w:t>万元。支出按功能分类分为：社会保障和就业支出</w:t>
      </w:r>
      <w:r>
        <w:rPr>
          <w:rFonts w:hint="eastAsia" w:ascii="仿宋_GB2312" w:hAnsi="仿宋" w:eastAsia="仿宋_GB2312"/>
          <w:sz w:val="32"/>
          <w:szCs w:val="32"/>
          <w:lang w:val="en-US" w:eastAsia="zh-CN"/>
        </w:rPr>
        <w:t>287.21</w:t>
      </w:r>
      <w:r>
        <w:rPr>
          <w:rFonts w:hint="eastAsia" w:ascii="仿宋_GB2312" w:hAnsi="仿宋" w:eastAsia="仿宋_GB2312" w:cs="Times New Roman"/>
          <w:kern w:val="2"/>
          <w:sz w:val="32"/>
          <w:szCs w:val="32"/>
        </w:rPr>
        <w:t>万元，占</w:t>
      </w:r>
      <w:r>
        <w:rPr>
          <w:rFonts w:hint="eastAsia" w:ascii="仿宋_GB2312" w:hAnsi="仿宋" w:eastAsia="仿宋_GB2312" w:cs="Times New Roman"/>
          <w:kern w:val="2"/>
          <w:sz w:val="32"/>
          <w:szCs w:val="32"/>
          <w:lang w:val="en-US" w:eastAsia="zh-CN"/>
        </w:rPr>
        <w:t>4.57</w:t>
      </w:r>
      <w:r>
        <w:rPr>
          <w:rFonts w:ascii="仿宋_GB2312" w:hAnsi="仿宋" w:eastAsia="仿宋_GB2312" w:cs="Times New Roman"/>
          <w:kern w:val="2"/>
          <w:sz w:val="32"/>
          <w:szCs w:val="32"/>
        </w:rPr>
        <w:t>%</w:t>
      </w:r>
      <w:r>
        <w:rPr>
          <w:rFonts w:hint="eastAsia" w:ascii="仿宋_GB2312" w:hAnsi="仿宋" w:eastAsia="仿宋_GB2312" w:cs="Times New Roman"/>
          <w:kern w:val="2"/>
          <w:sz w:val="32"/>
          <w:szCs w:val="32"/>
        </w:rPr>
        <w:t>；卫生健康支出</w:t>
      </w:r>
      <w:r>
        <w:rPr>
          <w:rFonts w:hint="eastAsia" w:ascii="仿宋_GB2312" w:hAnsi="仿宋" w:eastAsia="仿宋_GB2312" w:cs="Times New Roman"/>
          <w:kern w:val="2"/>
          <w:sz w:val="32"/>
          <w:szCs w:val="32"/>
          <w:lang w:val="en-US" w:eastAsia="zh-CN"/>
        </w:rPr>
        <w:t>5928.88</w:t>
      </w:r>
      <w:r>
        <w:rPr>
          <w:rFonts w:hint="eastAsia" w:ascii="仿宋_GB2312" w:hAnsi="仿宋" w:eastAsia="仿宋_GB2312" w:cs="Times New Roman"/>
          <w:kern w:val="2"/>
          <w:sz w:val="32"/>
          <w:szCs w:val="32"/>
        </w:rPr>
        <w:t>万元，占</w:t>
      </w:r>
      <w:r>
        <w:rPr>
          <w:rFonts w:hint="eastAsia" w:ascii="仿宋_GB2312" w:hAnsi="仿宋" w:eastAsia="仿宋_GB2312" w:cs="Times New Roman"/>
          <w:kern w:val="2"/>
          <w:sz w:val="32"/>
          <w:szCs w:val="32"/>
          <w:lang w:val="en-US" w:eastAsia="zh-CN"/>
        </w:rPr>
        <w:t>94.4</w:t>
      </w:r>
      <w:r>
        <w:rPr>
          <w:rFonts w:ascii="仿宋_GB2312" w:hAnsi="仿宋" w:eastAsia="仿宋_GB2312" w:cs="Times New Roman"/>
          <w:kern w:val="2"/>
          <w:sz w:val="32"/>
          <w:szCs w:val="32"/>
        </w:rPr>
        <w:t>%</w:t>
      </w:r>
      <w:r>
        <w:rPr>
          <w:rFonts w:hint="eastAsia" w:ascii="仿宋_GB2312" w:hAnsi="仿宋" w:eastAsia="仿宋_GB2312" w:cs="Times New Roman"/>
          <w:kern w:val="2"/>
          <w:sz w:val="32"/>
          <w:szCs w:val="32"/>
        </w:rPr>
        <w:t>；住房保障支出</w:t>
      </w:r>
      <w:r>
        <w:rPr>
          <w:rFonts w:hint="eastAsia" w:ascii="仿宋_GB2312" w:hAnsi="仿宋" w:eastAsia="仿宋_GB2312" w:cs="Times New Roman"/>
          <w:kern w:val="2"/>
          <w:sz w:val="32"/>
          <w:szCs w:val="32"/>
          <w:lang w:val="en-US" w:eastAsia="zh-CN"/>
        </w:rPr>
        <w:t>64.21</w:t>
      </w:r>
      <w:r>
        <w:rPr>
          <w:rFonts w:hint="eastAsia" w:ascii="仿宋_GB2312" w:hAnsi="仿宋" w:eastAsia="仿宋_GB2312" w:cs="Times New Roman"/>
          <w:kern w:val="2"/>
          <w:sz w:val="32"/>
          <w:szCs w:val="32"/>
        </w:rPr>
        <w:t>万元，占</w:t>
      </w:r>
      <w:r>
        <w:rPr>
          <w:rFonts w:hint="eastAsia" w:ascii="仿宋_GB2312" w:hAnsi="仿宋" w:eastAsia="仿宋_GB2312" w:cs="Times New Roman"/>
          <w:kern w:val="2"/>
          <w:sz w:val="32"/>
          <w:szCs w:val="32"/>
          <w:lang w:val="en-US" w:eastAsia="zh-CN"/>
        </w:rPr>
        <w:t>1.03</w:t>
      </w:r>
      <w:r>
        <w:rPr>
          <w:rFonts w:ascii="仿宋_GB2312" w:hAnsi="仿宋" w:eastAsia="仿宋_GB2312" w:cs="Times New Roman"/>
          <w:kern w:val="2"/>
          <w:sz w:val="32"/>
          <w:szCs w:val="32"/>
        </w:rPr>
        <w:t>%</w:t>
      </w:r>
      <w:r>
        <w:rPr>
          <w:rFonts w:hint="eastAsia" w:ascii="仿宋_GB2312" w:hAnsi="仿宋" w:eastAsia="仿宋_GB2312" w:cs="Times New Roman"/>
          <w:kern w:val="2"/>
          <w:sz w:val="32"/>
          <w:szCs w:val="32"/>
        </w:rPr>
        <w:t>。</w:t>
      </w:r>
    </w:p>
    <w:p>
      <w:pPr>
        <w:pStyle w:val="5"/>
        <w:adjustRightInd w:val="0"/>
        <w:snapToGrid w:val="0"/>
        <w:spacing w:before="0" w:beforeAutospacing="0" w:after="0" w:afterAutospacing="0" w:line="600" w:lineRule="exact"/>
        <w:ind w:firstLine="640" w:firstLineChars="200"/>
        <w:rPr>
          <w:rFonts w:ascii="黑体" w:hAnsi="仿宋" w:eastAsia="黑体"/>
          <w:color w:val="000000"/>
          <w:sz w:val="32"/>
          <w:szCs w:val="32"/>
        </w:rPr>
      </w:pPr>
      <w:r>
        <w:rPr>
          <w:rFonts w:hint="eastAsia" w:ascii="黑体" w:hAnsi="仿宋" w:eastAsia="黑体"/>
          <w:color w:val="000000"/>
          <w:sz w:val="32"/>
          <w:szCs w:val="32"/>
        </w:rPr>
        <w:t>五、关于</w:t>
      </w:r>
      <w:r>
        <w:rPr>
          <w:rFonts w:ascii="黑体" w:hAnsi="仿宋" w:eastAsia="黑体"/>
          <w:color w:val="000000"/>
          <w:sz w:val="32"/>
          <w:szCs w:val="32"/>
        </w:rPr>
        <w:t>2022</w:t>
      </w:r>
      <w:r>
        <w:rPr>
          <w:rFonts w:hint="eastAsia" w:ascii="黑体" w:hAnsi="仿宋" w:eastAsia="黑体"/>
          <w:color w:val="000000"/>
          <w:sz w:val="32"/>
          <w:szCs w:val="32"/>
        </w:rPr>
        <w:t>年一般公共预算支出表的说明</w:t>
      </w:r>
    </w:p>
    <w:p>
      <w:pPr>
        <w:pStyle w:val="5"/>
        <w:adjustRightInd w:val="0"/>
        <w:snapToGrid w:val="0"/>
        <w:spacing w:before="0" w:beforeAutospacing="0" w:after="0" w:afterAutospacing="0" w:line="600" w:lineRule="exact"/>
        <w:ind w:firstLine="630" w:firstLineChars="196"/>
        <w:rPr>
          <w:rFonts w:ascii="楷体_GB2312" w:hAnsi="仿宋" w:eastAsia="楷体_GB2312" w:cs="Times New Roman"/>
          <w:b/>
          <w:kern w:val="2"/>
          <w:sz w:val="32"/>
          <w:szCs w:val="32"/>
        </w:rPr>
      </w:pPr>
      <w:r>
        <w:rPr>
          <w:rFonts w:hint="eastAsia" w:ascii="楷体_GB2312" w:hAnsi="仿宋" w:eastAsia="楷体_GB2312" w:cs="Times New Roman"/>
          <w:b/>
          <w:kern w:val="2"/>
          <w:sz w:val="32"/>
          <w:szCs w:val="32"/>
        </w:rPr>
        <w:t>（一）一般公共预算支出规模变化情况。</w:t>
      </w:r>
    </w:p>
    <w:p>
      <w:pPr>
        <w:pStyle w:val="5"/>
        <w:adjustRightInd w:val="0"/>
        <w:snapToGrid w:val="0"/>
        <w:spacing w:before="0" w:beforeAutospacing="0" w:after="0" w:afterAutospacing="0" w:line="600" w:lineRule="exact"/>
        <w:ind w:firstLine="627" w:firstLineChars="196"/>
        <w:rPr>
          <w:rFonts w:ascii="仿宋_GB2312" w:hAnsi="仿宋" w:eastAsia="仿宋_GB2312" w:cs="Times New Roman"/>
          <w:kern w:val="2"/>
          <w:sz w:val="32"/>
          <w:szCs w:val="32"/>
        </w:rPr>
      </w:pPr>
      <w:r>
        <w:rPr>
          <w:rFonts w:hint="eastAsia" w:ascii="仿宋_GB2312" w:hAnsi="仿宋" w:eastAsia="仿宋_GB2312" w:cs="Times New Roman"/>
          <w:kern w:val="2"/>
          <w:sz w:val="32"/>
          <w:szCs w:val="32"/>
          <w:lang w:eastAsia="zh-CN"/>
        </w:rPr>
        <w:t>淮南市医疗保障局</w:t>
      </w:r>
      <w:r>
        <w:rPr>
          <w:rFonts w:ascii="仿宋_GB2312" w:hAnsi="仿宋" w:eastAsia="仿宋_GB2312" w:cs="Times New Roman"/>
          <w:kern w:val="2"/>
          <w:sz w:val="32"/>
          <w:szCs w:val="32"/>
        </w:rPr>
        <w:t>2022</w:t>
      </w:r>
      <w:r>
        <w:rPr>
          <w:rFonts w:hint="eastAsia" w:ascii="仿宋_GB2312" w:hAnsi="仿宋" w:eastAsia="仿宋_GB2312" w:cs="Times New Roman"/>
          <w:kern w:val="2"/>
          <w:sz w:val="32"/>
          <w:szCs w:val="32"/>
        </w:rPr>
        <w:t>年一般公共预算支出</w:t>
      </w:r>
      <w:r>
        <w:rPr>
          <w:rFonts w:hint="eastAsia" w:ascii="仿宋_GB2312" w:hAnsi="仿宋" w:eastAsia="仿宋_GB2312" w:cs="Times New Roman"/>
          <w:kern w:val="2"/>
          <w:sz w:val="32"/>
          <w:szCs w:val="32"/>
          <w:lang w:val="en-US" w:eastAsia="zh-CN"/>
        </w:rPr>
        <w:t>6280.3</w:t>
      </w:r>
      <w:r>
        <w:rPr>
          <w:rFonts w:hint="eastAsia" w:ascii="仿宋_GB2312" w:hAnsi="仿宋" w:eastAsia="仿宋_GB2312" w:cs="Times New Roman"/>
          <w:kern w:val="2"/>
          <w:sz w:val="32"/>
          <w:szCs w:val="32"/>
        </w:rPr>
        <w:t>万元，比</w:t>
      </w:r>
      <w:r>
        <w:rPr>
          <w:rFonts w:ascii="仿宋_GB2312" w:hAnsi="仿宋" w:eastAsia="仿宋_GB2312" w:cs="Times New Roman"/>
          <w:kern w:val="2"/>
          <w:sz w:val="32"/>
          <w:szCs w:val="32"/>
        </w:rPr>
        <w:t>2021</w:t>
      </w:r>
      <w:r>
        <w:rPr>
          <w:rFonts w:hint="eastAsia" w:ascii="仿宋_GB2312" w:hAnsi="仿宋" w:eastAsia="仿宋_GB2312" w:cs="Times New Roman"/>
          <w:kern w:val="2"/>
          <w:sz w:val="32"/>
          <w:szCs w:val="32"/>
        </w:rPr>
        <w:t>年预算增加</w:t>
      </w:r>
      <w:r>
        <w:rPr>
          <w:rFonts w:hint="eastAsia" w:ascii="仿宋_GB2312" w:hAnsi="仿宋" w:eastAsia="仿宋_GB2312" w:cs="Times New Roman"/>
          <w:kern w:val="2"/>
          <w:sz w:val="32"/>
          <w:szCs w:val="32"/>
          <w:lang w:val="en-US" w:eastAsia="zh-CN"/>
        </w:rPr>
        <w:t>989.15</w:t>
      </w:r>
      <w:r>
        <w:rPr>
          <w:rFonts w:hint="eastAsia" w:ascii="仿宋_GB2312" w:hAnsi="仿宋" w:eastAsia="仿宋_GB2312" w:cs="Times New Roman"/>
          <w:kern w:val="2"/>
          <w:sz w:val="32"/>
          <w:szCs w:val="32"/>
        </w:rPr>
        <w:t>万元，增长</w:t>
      </w:r>
      <w:r>
        <w:rPr>
          <w:rFonts w:hint="eastAsia" w:ascii="仿宋_GB2312" w:hAnsi="仿宋" w:eastAsia="仿宋_GB2312" w:cs="Times New Roman"/>
          <w:kern w:val="2"/>
          <w:sz w:val="32"/>
          <w:szCs w:val="32"/>
          <w:lang w:val="en-US" w:eastAsia="zh-CN"/>
        </w:rPr>
        <w:t>18.69</w:t>
      </w:r>
      <w:r>
        <w:rPr>
          <w:rFonts w:ascii="仿宋_GB2312" w:hAnsi="仿宋" w:eastAsia="仿宋_GB2312" w:cs="Times New Roman"/>
          <w:kern w:val="2"/>
          <w:sz w:val="32"/>
          <w:szCs w:val="32"/>
        </w:rPr>
        <w:t>%</w:t>
      </w:r>
      <w:r>
        <w:rPr>
          <w:rFonts w:hint="eastAsia" w:ascii="仿宋_GB2312" w:hAnsi="仿宋" w:eastAsia="仿宋_GB2312" w:cs="Times New Roman"/>
          <w:kern w:val="2"/>
          <w:sz w:val="32"/>
          <w:szCs w:val="32"/>
        </w:rPr>
        <w:t>，主要原因：</w:t>
      </w:r>
      <w:r>
        <w:rPr>
          <w:rFonts w:hint="eastAsia" w:ascii="仿宋_GB2312" w:hAnsi="仿宋" w:eastAsia="仿宋_GB2312"/>
          <w:sz w:val="32"/>
          <w:szCs w:val="32"/>
        </w:rPr>
        <w:t>一般公共预算拨款</w:t>
      </w:r>
      <w:r>
        <w:rPr>
          <w:rFonts w:hint="eastAsia" w:ascii="仿宋_GB2312" w:hAnsi="仿宋" w:eastAsia="仿宋_GB2312"/>
          <w:sz w:val="32"/>
          <w:szCs w:val="32"/>
          <w:lang w:eastAsia="zh-CN"/>
        </w:rPr>
        <w:t>下属部门支出增加</w:t>
      </w:r>
      <w:r>
        <w:rPr>
          <w:rFonts w:hint="eastAsia" w:ascii="仿宋_GB2312" w:hAnsi="仿宋" w:eastAsia="仿宋_GB2312"/>
          <w:sz w:val="32"/>
          <w:szCs w:val="32"/>
        </w:rPr>
        <w:t>。</w:t>
      </w:r>
    </w:p>
    <w:p>
      <w:pPr>
        <w:pStyle w:val="5"/>
        <w:adjustRightInd w:val="0"/>
        <w:snapToGrid w:val="0"/>
        <w:spacing w:before="0" w:beforeAutospacing="0" w:after="0" w:afterAutospacing="0" w:line="600" w:lineRule="exact"/>
        <w:ind w:firstLine="630" w:firstLineChars="196"/>
        <w:rPr>
          <w:rFonts w:ascii="楷体_GB2312" w:hAnsi="仿宋" w:eastAsia="楷体_GB2312" w:cs="Times New Roman"/>
          <w:b/>
          <w:kern w:val="2"/>
          <w:sz w:val="32"/>
          <w:szCs w:val="32"/>
        </w:rPr>
      </w:pPr>
      <w:r>
        <w:rPr>
          <w:rFonts w:hint="eastAsia" w:ascii="楷体_GB2312" w:hAnsi="仿宋" w:eastAsia="楷体_GB2312" w:cs="Times New Roman"/>
          <w:b/>
          <w:kern w:val="2"/>
          <w:sz w:val="32"/>
          <w:szCs w:val="32"/>
        </w:rPr>
        <w:t>（二）一般公共预算支出结构情况。</w:t>
      </w:r>
    </w:p>
    <w:p>
      <w:pPr>
        <w:pStyle w:val="5"/>
        <w:adjustRightInd w:val="0"/>
        <w:snapToGrid w:val="0"/>
        <w:spacing w:before="0" w:beforeAutospacing="0" w:after="0" w:afterAutospacing="0" w:line="600" w:lineRule="exact"/>
        <w:ind w:firstLine="627" w:firstLineChars="196"/>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社会保障和就业支出</w:t>
      </w:r>
      <w:r>
        <w:rPr>
          <w:rFonts w:hint="eastAsia" w:ascii="仿宋_GB2312" w:hAnsi="仿宋" w:eastAsia="仿宋_GB2312" w:cs="Times New Roman"/>
          <w:kern w:val="2"/>
          <w:sz w:val="32"/>
          <w:szCs w:val="32"/>
          <w:lang w:val="en-US" w:eastAsia="zh-CN"/>
        </w:rPr>
        <w:t>287.21</w:t>
      </w:r>
      <w:r>
        <w:rPr>
          <w:rFonts w:hint="eastAsia" w:ascii="仿宋_GB2312" w:hAnsi="仿宋" w:eastAsia="仿宋_GB2312" w:cs="Times New Roman"/>
          <w:kern w:val="2"/>
          <w:sz w:val="32"/>
          <w:szCs w:val="32"/>
        </w:rPr>
        <w:t>万元，占</w:t>
      </w:r>
      <w:r>
        <w:rPr>
          <w:rFonts w:hint="eastAsia" w:ascii="仿宋_GB2312" w:hAnsi="仿宋" w:eastAsia="仿宋_GB2312" w:cs="Times New Roman"/>
          <w:kern w:val="2"/>
          <w:sz w:val="32"/>
          <w:szCs w:val="32"/>
          <w:lang w:val="en-US" w:eastAsia="zh-CN"/>
        </w:rPr>
        <w:t>4.57</w:t>
      </w:r>
      <w:r>
        <w:rPr>
          <w:rFonts w:ascii="仿宋_GB2312" w:hAnsi="仿宋" w:eastAsia="仿宋_GB2312" w:cs="Times New Roman"/>
          <w:kern w:val="2"/>
          <w:sz w:val="32"/>
          <w:szCs w:val="32"/>
        </w:rPr>
        <w:t>%</w:t>
      </w:r>
      <w:r>
        <w:rPr>
          <w:rFonts w:hint="eastAsia" w:ascii="仿宋_GB2312" w:hAnsi="仿宋" w:eastAsia="仿宋_GB2312" w:cs="Times New Roman"/>
          <w:kern w:val="2"/>
          <w:sz w:val="32"/>
          <w:szCs w:val="32"/>
        </w:rPr>
        <w:t>；卫生健康支出</w:t>
      </w:r>
      <w:r>
        <w:rPr>
          <w:rFonts w:hint="eastAsia" w:ascii="仿宋_GB2312" w:hAnsi="仿宋" w:eastAsia="仿宋_GB2312" w:cs="Times New Roman"/>
          <w:kern w:val="2"/>
          <w:sz w:val="32"/>
          <w:szCs w:val="32"/>
          <w:lang w:val="en-US" w:eastAsia="zh-CN"/>
        </w:rPr>
        <w:t>5928.88</w:t>
      </w:r>
      <w:r>
        <w:rPr>
          <w:rFonts w:hint="eastAsia" w:ascii="仿宋_GB2312" w:hAnsi="仿宋" w:eastAsia="仿宋_GB2312" w:cs="Times New Roman"/>
          <w:kern w:val="2"/>
          <w:sz w:val="32"/>
          <w:szCs w:val="32"/>
        </w:rPr>
        <w:t>万元，占</w:t>
      </w:r>
      <w:r>
        <w:rPr>
          <w:rFonts w:hint="eastAsia" w:ascii="仿宋_GB2312" w:hAnsi="仿宋" w:eastAsia="仿宋_GB2312" w:cs="Times New Roman"/>
          <w:kern w:val="2"/>
          <w:sz w:val="32"/>
          <w:szCs w:val="32"/>
          <w:lang w:val="en-US" w:eastAsia="zh-CN"/>
        </w:rPr>
        <w:t>94.4</w:t>
      </w:r>
      <w:r>
        <w:rPr>
          <w:rFonts w:ascii="仿宋_GB2312" w:hAnsi="仿宋" w:eastAsia="仿宋_GB2312" w:cs="Times New Roman"/>
          <w:kern w:val="2"/>
          <w:sz w:val="32"/>
          <w:szCs w:val="32"/>
        </w:rPr>
        <w:t>%</w:t>
      </w:r>
      <w:r>
        <w:rPr>
          <w:rFonts w:hint="eastAsia" w:ascii="仿宋_GB2312" w:hAnsi="仿宋" w:eastAsia="仿宋_GB2312" w:cs="Times New Roman"/>
          <w:kern w:val="2"/>
          <w:sz w:val="32"/>
          <w:szCs w:val="32"/>
        </w:rPr>
        <w:t>；住房保障支出</w:t>
      </w:r>
      <w:r>
        <w:rPr>
          <w:rFonts w:hint="eastAsia" w:ascii="仿宋_GB2312" w:hAnsi="仿宋" w:eastAsia="仿宋_GB2312" w:cs="Times New Roman"/>
          <w:kern w:val="2"/>
          <w:sz w:val="32"/>
          <w:szCs w:val="32"/>
          <w:lang w:val="en-US" w:eastAsia="zh-CN"/>
        </w:rPr>
        <w:t>64.21</w:t>
      </w:r>
      <w:r>
        <w:rPr>
          <w:rFonts w:hint="eastAsia" w:ascii="仿宋_GB2312" w:hAnsi="仿宋" w:eastAsia="仿宋_GB2312" w:cs="Times New Roman"/>
          <w:kern w:val="2"/>
          <w:sz w:val="32"/>
          <w:szCs w:val="32"/>
        </w:rPr>
        <w:t>万元，占</w:t>
      </w:r>
      <w:r>
        <w:rPr>
          <w:rFonts w:hint="eastAsia" w:ascii="仿宋_GB2312" w:hAnsi="仿宋" w:eastAsia="仿宋_GB2312" w:cs="Times New Roman"/>
          <w:kern w:val="2"/>
          <w:sz w:val="32"/>
          <w:szCs w:val="32"/>
          <w:lang w:val="en-US" w:eastAsia="zh-CN"/>
        </w:rPr>
        <w:t>1.03</w:t>
      </w:r>
      <w:r>
        <w:rPr>
          <w:rFonts w:ascii="仿宋_GB2312" w:hAnsi="仿宋" w:eastAsia="仿宋_GB2312" w:cs="Times New Roman"/>
          <w:kern w:val="2"/>
          <w:sz w:val="32"/>
          <w:szCs w:val="32"/>
        </w:rPr>
        <w:t>%</w:t>
      </w:r>
      <w:r>
        <w:rPr>
          <w:rFonts w:hint="eastAsia" w:ascii="仿宋_GB2312" w:hAnsi="仿宋" w:eastAsia="仿宋_GB2312" w:cs="Times New Roman"/>
          <w:kern w:val="2"/>
          <w:sz w:val="32"/>
          <w:szCs w:val="32"/>
        </w:rPr>
        <w:t>。</w:t>
      </w:r>
    </w:p>
    <w:p>
      <w:pPr>
        <w:adjustRightInd w:val="0"/>
        <w:snapToGrid w:val="0"/>
        <w:spacing w:line="600" w:lineRule="exact"/>
        <w:ind w:firstLine="643" w:firstLineChars="200"/>
        <w:rPr>
          <w:rFonts w:ascii="楷体_GB2312" w:hAnsi="仿宋" w:eastAsia="楷体_GB2312"/>
          <w:b/>
          <w:sz w:val="32"/>
          <w:szCs w:val="32"/>
        </w:rPr>
      </w:pPr>
      <w:r>
        <w:rPr>
          <w:rFonts w:hint="eastAsia" w:ascii="楷体_GB2312" w:hAnsi="仿宋" w:eastAsia="楷体_GB2312"/>
          <w:b/>
          <w:sz w:val="32"/>
          <w:szCs w:val="32"/>
        </w:rPr>
        <w:t>（三）一般公共预算支出具体使用情况。</w:t>
      </w:r>
    </w:p>
    <w:p>
      <w:pPr>
        <w:adjustRightInd w:val="0"/>
        <w:snapToGrid w:val="0"/>
        <w:spacing w:line="600" w:lineRule="exact"/>
        <w:ind w:firstLine="643" w:firstLineChars="200"/>
        <w:rPr>
          <w:rFonts w:hint="eastAsia" w:ascii="仿宋_GB2312" w:hAnsi="仿宋" w:eastAsia="仿宋_GB2312"/>
          <w:sz w:val="32"/>
          <w:szCs w:val="32"/>
        </w:rPr>
      </w:pPr>
      <w:r>
        <w:rPr>
          <w:rFonts w:ascii="仿宋_GB2312" w:hAnsi="仿宋" w:eastAsia="仿宋_GB2312"/>
          <w:b/>
          <w:sz w:val="32"/>
          <w:szCs w:val="32"/>
        </w:rPr>
        <w:t>1.</w:t>
      </w:r>
      <w:r>
        <w:rPr>
          <w:rFonts w:hint="eastAsia" w:ascii="仿宋_GB2312" w:hAnsi="仿宋" w:eastAsia="仿宋_GB2312"/>
          <w:b/>
          <w:sz w:val="32"/>
          <w:szCs w:val="32"/>
        </w:rPr>
        <w:t>社会保障和就业支出（类）人力资源和社会保障管理事务（款）社会保险经办机构（项）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233</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年预算减少</w:t>
      </w:r>
      <w:r>
        <w:rPr>
          <w:rFonts w:hint="eastAsia" w:ascii="仿宋_GB2312" w:hAnsi="仿宋" w:eastAsia="仿宋_GB2312"/>
          <w:sz w:val="32"/>
          <w:szCs w:val="32"/>
          <w:lang w:val="en-US" w:eastAsia="zh-CN"/>
        </w:rPr>
        <w:t>6.78</w:t>
      </w:r>
      <w:r>
        <w:rPr>
          <w:rFonts w:hint="eastAsia" w:ascii="仿宋_GB2312" w:hAnsi="仿宋" w:eastAsia="仿宋_GB2312"/>
          <w:sz w:val="32"/>
          <w:szCs w:val="32"/>
        </w:rPr>
        <w:t>万元，下降</w:t>
      </w:r>
      <w:r>
        <w:rPr>
          <w:rFonts w:hint="eastAsia" w:ascii="仿宋_GB2312" w:hAnsi="仿宋" w:eastAsia="仿宋_GB2312"/>
          <w:sz w:val="32"/>
          <w:szCs w:val="32"/>
          <w:lang w:val="en-US" w:eastAsia="zh-CN"/>
        </w:rPr>
        <w:t>2.83</w:t>
      </w:r>
      <w:r>
        <w:rPr>
          <w:rFonts w:ascii="仿宋_GB2312" w:hAnsi="仿宋" w:eastAsia="仿宋_GB2312"/>
          <w:sz w:val="32"/>
          <w:szCs w:val="32"/>
        </w:rPr>
        <w:t>%</w:t>
      </w:r>
      <w:r>
        <w:rPr>
          <w:rFonts w:hint="eastAsia" w:ascii="仿宋_GB2312" w:hAnsi="仿宋" w:eastAsia="仿宋_GB2312"/>
          <w:sz w:val="32"/>
          <w:szCs w:val="32"/>
        </w:rPr>
        <w:t>，下降原因主要是</w:t>
      </w:r>
      <w:r>
        <w:rPr>
          <w:rFonts w:hint="eastAsia" w:ascii="仿宋_GB2312" w:hAnsi="仿宋" w:eastAsia="仿宋_GB2312"/>
          <w:sz w:val="32"/>
          <w:szCs w:val="32"/>
          <w:lang w:eastAsia="zh-CN"/>
        </w:rPr>
        <w:t>功能科目合并此项减少</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2</w:t>
      </w:r>
      <w:r>
        <w:rPr>
          <w:rFonts w:ascii="仿宋_GB2312" w:hAnsi="仿宋" w:eastAsia="仿宋_GB2312"/>
          <w:b/>
          <w:sz w:val="32"/>
          <w:szCs w:val="32"/>
        </w:rPr>
        <w:t>.</w:t>
      </w:r>
      <w:r>
        <w:rPr>
          <w:rFonts w:hint="eastAsia" w:ascii="仿宋_GB2312" w:hAnsi="仿宋" w:eastAsia="仿宋_GB2312"/>
          <w:b/>
          <w:sz w:val="32"/>
          <w:szCs w:val="32"/>
        </w:rPr>
        <w:t>社会保障和就业支出（类）行政事业单位养老支出（款）行政单位离退休（项）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0.35</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0.32</w:t>
      </w:r>
      <w:r>
        <w:rPr>
          <w:rFonts w:hint="eastAsia" w:ascii="仿宋_GB2312" w:hAnsi="仿宋" w:eastAsia="仿宋_GB2312"/>
          <w:sz w:val="32"/>
          <w:szCs w:val="32"/>
        </w:rPr>
        <w:t>万元，</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1066.67</w:t>
      </w:r>
      <w:r>
        <w:rPr>
          <w:rFonts w:ascii="仿宋_GB2312" w:hAnsi="仿宋" w:eastAsia="仿宋_GB2312"/>
          <w:sz w:val="32"/>
          <w:szCs w:val="32"/>
        </w:rPr>
        <w:t>%</w:t>
      </w:r>
      <w:r>
        <w:rPr>
          <w:rFonts w:hint="eastAsia" w:ascii="仿宋_GB2312" w:hAnsi="仿宋" w:eastAsia="仿宋_GB2312"/>
          <w:sz w:val="32"/>
          <w:szCs w:val="32"/>
        </w:rPr>
        <w:t>，</w:t>
      </w:r>
      <w:r>
        <w:rPr>
          <w:rFonts w:hint="eastAsia" w:ascii="仿宋_GB2312" w:hAnsi="仿宋" w:eastAsia="仿宋_GB2312"/>
          <w:sz w:val="32"/>
          <w:szCs w:val="32"/>
          <w:lang w:eastAsia="zh-CN"/>
        </w:rPr>
        <w:t>增加</w:t>
      </w:r>
      <w:r>
        <w:rPr>
          <w:rFonts w:hint="eastAsia" w:ascii="仿宋_GB2312" w:hAnsi="仿宋" w:eastAsia="仿宋_GB2312"/>
          <w:sz w:val="32"/>
          <w:szCs w:val="32"/>
        </w:rPr>
        <w:t>原因主要是行政单位离退休</w:t>
      </w:r>
      <w:r>
        <w:rPr>
          <w:rFonts w:hint="eastAsia" w:ascii="仿宋_GB2312" w:hAnsi="仿宋" w:eastAsia="仿宋_GB2312"/>
          <w:sz w:val="32"/>
          <w:szCs w:val="32"/>
          <w:lang w:eastAsia="zh-CN"/>
        </w:rPr>
        <w:t>支出增加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3</w:t>
      </w:r>
      <w:r>
        <w:rPr>
          <w:rFonts w:ascii="仿宋_GB2312" w:hAnsi="仿宋" w:eastAsia="仿宋_GB2312"/>
          <w:b/>
          <w:sz w:val="32"/>
          <w:szCs w:val="32"/>
        </w:rPr>
        <w:t>.</w:t>
      </w:r>
      <w:r>
        <w:rPr>
          <w:rFonts w:hint="eastAsia" w:ascii="仿宋_GB2312" w:hAnsi="仿宋" w:eastAsia="仿宋_GB2312"/>
          <w:b/>
          <w:sz w:val="32"/>
          <w:szCs w:val="32"/>
        </w:rPr>
        <w:t>社会保障和就业支出（类）行政事业单位养老支出（款）事业单位离退休（项）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0.03</w:t>
      </w:r>
      <w:r>
        <w:rPr>
          <w:rFonts w:hint="eastAsia" w:ascii="仿宋_GB2312" w:hAnsi="仿宋" w:eastAsia="仿宋_GB2312"/>
          <w:sz w:val="32"/>
          <w:szCs w:val="32"/>
        </w:rPr>
        <w:t>万元，</w:t>
      </w:r>
      <w:r>
        <w:rPr>
          <w:rFonts w:hint="eastAsia" w:ascii="仿宋_GB2312" w:hAnsi="仿宋" w:eastAsia="仿宋_GB2312"/>
          <w:sz w:val="32"/>
          <w:szCs w:val="32"/>
          <w:lang w:eastAsia="zh-CN"/>
        </w:rPr>
        <w:t>同</w:t>
      </w:r>
      <w:r>
        <w:rPr>
          <w:rFonts w:ascii="仿宋_GB2312" w:hAnsi="仿宋" w:eastAsia="仿宋_GB2312"/>
          <w:sz w:val="32"/>
          <w:szCs w:val="32"/>
        </w:rPr>
        <w:t>2021</w:t>
      </w:r>
      <w:r>
        <w:rPr>
          <w:rFonts w:hint="eastAsia" w:ascii="仿宋_GB2312" w:hAnsi="仿宋" w:eastAsia="仿宋_GB2312"/>
          <w:sz w:val="32"/>
          <w:szCs w:val="32"/>
        </w:rPr>
        <w:t>年预算</w:t>
      </w:r>
      <w:r>
        <w:rPr>
          <w:rFonts w:hint="eastAsia" w:ascii="仿宋_GB2312" w:hAnsi="仿宋" w:eastAsia="仿宋_GB2312"/>
          <w:sz w:val="32"/>
          <w:szCs w:val="32"/>
          <w:lang w:eastAsia="zh-CN"/>
        </w:rPr>
        <w:t>相比无增减变化</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4</w:t>
      </w:r>
      <w:r>
        <w:rPr>
          <w:rFonts w:ascii="仿宋_GB2312" w:hAnsi="仿宋" w:eastAsia="仿宋_GB2312"/>
          <w:b/>
          <w:sz w:val="32"/>
          <w:szCs w:val="32"/>
        </w:rPr>
        <w:t>.</w:t>
      </w:r>
      <w:r>
        <w:rPr>
          <w:rFonts w:hint="eastAsia" w:ascii="仿宋_GB2312" w:hAnsi="仿宋" w:eastAsia="仿宋_GB2312"/>
          <w:b/>
          <w:sz w:val="32"/>
          <w:szCs w:val="32"/>
        </w:rPr>
        <w:t>社会保障和就业支出（类）行政事业单位养老支出（款）机关事业单位基本养老保险缴费支出（项）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53.83</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11.62</w:t>
      </w:r>
      <w:r>
        <w:rPr>
          <w:rFonts w:hint="eastAsia" w:ascii="仿宋_GB2312" w:hAnsi="仿宋" w:eastAsia="仿宋_GB2312"/>
          <w:sz w:val="32"/>
          <w:szCs w:val="32"/>
        </w:rPr>
        <w:t>万元，</w:t>
      </w:r>
      <w:r>
        <w:rPr>
          <w:rFonts w:hint="eastAsia" w:ascii="仿宋_GB2312" w:hAnsi="仿宋" w:eastAsia="仿宋_GB2312"/>
          <w:sz w:val="32"/>
          <w:szCs w:val="32"/>
          <w:lang w:eastAsia="zh-CN"/>
        </w:rPr>
        <w:t>增长</w:t>
      </w:r>
      <w:r>
        <w:rPr>
          <w:rFonts w:hint="eastAsia" w:ascii="仿宋_GB2312" w:hAnsi="仿宋" w:eastAsia="仿宋_GB2312"/>
          <w:sz w:val="32"/>
          <w:szCs w:val="32"/>
          <w:lang w:val="en-US" w:eastAsia="zh-CN"/>
        </w:rPr>
        <w:t>27.53</w:t>
      </w:r>
      <w:r>
        <w:rPr>
          <w:rFonts w:ascii="仿宋_GB2312" w:hAnsi="仿宋" w:eastAsia="仿宋_GB2312"/>
          <w:sz w:val="32"/>
          <w:szCs w:val="32"/>
        </w:rPr>
        <w:t>%</w:t>
      </w:r>
      <w:r>
        <w:rPr>
          <w:rFonts w:hint="eastAsia" w:ascii="仿宋_GB2312" w:hAnsi="仿宋" w:eastAsia="仿宋_GB2312"/>
          <w:sz w:val="32"/>
          <w:szCs w:val="32"/>
        </w:rPr>
        <w:t>，</w:t>
      </w:r>
      <w:r>
        <w:rPr>
          <w:rFonts w:hint="eastAsia" w:ascii="仿宋_GB2312" w:hAnsi="仿宋" w:eastAsia="仿宋_GB2312"/>
          <w:sz w:val="32"/>
          <w:szCs w:val="32"/>
          <w:lang w:eastAsia="zh-CN"/>
        </w:rPr>
        <w:t>增加</w:t>
      </w:r>
      <w:r>
        <w:rPr>
          <w:rFonts w:hint="eastAsia" w:ascii="仿宋_GB2312" w:hAnsi="仿宋" w:eastAsia="仿宋_GB2312"/>
          <w:sz w:val="32"/>
          <w:szCs w:val="32"/>
        </w:rPr>
        <w:t>原因主要是机关事业单位</w:t>
      </w:r>
      <w:r>
        <w:rPr>
          <w:rFonts w:hint="eastAsia" w:ascii="仿宋_GB2312" w:hAnsi="仿宋" w:eastAsia="仿宋_GB2312"/>
          <w:sz w:val="32"/>
          <w:szCs w:val="32"/>
          <w:lang w:eastAsia="zh-CN"/>
        </w:rPr>
        <w:t>人员增加</w:t>
      </w:r>
      <w:r>
        <w:rPr>
          <w:rFonts w:hint="eastAsia" w:ascii="仿宋_GB2312" w:hAnsi="仿宋" w:eastAsia="仿宋_GB2312"/>
          <w:sz w:val="32"/>
          <w:szCs w:val="32"/>
        </w:rPr>
        <w:t>基本养老保险缴费</w:t>
      </w:r>
      <w:r>
        <w:rPr>
          <w:rFonts w:hint="eastAsia" w:ascii="仿宋_GB2312" w:hAnsi="仿宋" w:eastAsia="仿宋_GB2312"/>
          <w:sz w:val="32"/>
          <w:szCs w:val="32"/>
          <w:lang w:eastAsia="zh-CN"/>
        </w:rPr>
        <w:t>支出增加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5</w:t>
      </w:r>
      <w:r>
        <w:rPr>
          <w:rFonts w:ascii="仿宋_GB2312" w:hAnsi="仿宋" w:eastAsia="仿宋_GB2312"/>
          <w:b/>
          <w:sz w:val="32"/>
          <w:szCs w:val="32"/>
        </w:rPr>
        <w:t>.</w:t>
      </w:r>
      <w:r>
        <w:rPr>
          <w:rFonts w:hint="eastAsia" w:ascii="仿宋_GB2312" w:hAnsi="仿宋" w:eastAsia="仿宋_GB2312"/>
          <w:b/>
          <w:sz w:val="32"/>
          <w:szCs w:val="32"/>
        </w:rPr>
        <w:t>卫生健康支出（类）公共卫生（款）其他公共卫生支出（项）</w:t>
      </w:r>
      <w:r>
        <w:rPr>
          <w:rFonts w:ascii="仿宋_GB2312" w:hAnsi="仿宋" w:eastAsia="仿宋_GB2312"/>
          <w:sz w:val="32"/>
          <w:szCs w:val="32"/>
        </w:rPr>
        <w:t>2022</w:t>
      </w:r>
      <w:r>
        <w:rPr>
          <w:rFonts w:hint="eastAsia" w:ascii="仿宋_GB2312" w:hAnsi="仿宋" w:eastAsia="仿宋_GB2312"/>
          <w:sz w:val="32"/>
          <w:szCs w:val="32"/>
        </w:rPr>
        <w:t>年预</w:t>
      </w:r>
      <w:r>
        <w:rPr>
          <w:rFonts w:hint="eastAsia" w:ascii="仿宋_GB2312" w:hAnsi="仿宋" w:eastAsia="仿宋_GB2312"/>
          <w:color w:val="000000" w:themeColor="text1"/>
          <w:sz w:val="32"/>
          <w:szCs w:val="32"/>
        </w:rPr>
        <w:t>算</w:t>
      </w:r>
      <w:r>
        <w:rPr>
          <w:rFonts w:hint="eastAsia" w:ascii="仿宋_GB2312" w:hAnsi="仿宋" w:eastAsia="仿宋_GB2312"/>
          <w:color w:val="000000" w:themeColor="text1"/>
          <w:sz w:val="32"/>
          <w:szCs w:val="32"/>
          <w:lang w:val="en-US" w:eastAsia="zh-CN"/>
        </w:rPr>
        <w:t>169.18</w:t>
      </w:r>
      <w:r>
        <w:rPr>
          <w:rFonts w:hint="eastAsia" w:ascii="仿宋_GB2312" w:hAnsi="仿宋" w:eastAsia="仿宋_GB2312"/>
          <w:color w:val="000000" w:themeColor="text1"/>
          <w:sz w:val="32"/>
          <w:szCs w:val="32"/>
        </w:rPr>
        <w:t>万</w:t>
      </w:r>
      <w:r>
        <w:rPr>
          <w:rFonts w:hint="eastAsia" w:ascii="仿宋_GB2312" w:hAnsi="仿宋" w:eastAsia="仿宋_GB2312"/>
          <w:sz w:val="32"/>
          <w:szCs w:val="32"/>
        </w:rPr>
        <w:t>元，比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76.15</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81.86</w:t>
      </w:r>
      <w:r>
        <w:rPr>
          <w:rFonts w:ascii="仿宋_GB2312" w:hAnsi="仿宋" w:eastAsia="仿宋_GB2312"/>
          <w:sz w:val="32"/>
          <w:szCs w:val="32"/>
        </w:rPr>
        <w:t>%</w:t>
      </w:r>
      <w:r>
        <w:rPr>
          <w:rFonts w:hint="eastAsia" w:ascii="仿宋_GB2312" w:hAnsi="仿宋" w:eastAsia="仿宋_GB2312"/>
          <w:sz w:val="32"/>
          <w:szCs w:val="32"/>
        </w:rPr>
        <w:t>，增长原因主要是</w:t>
      </w:r>
      <w:r>
        <w:rPr>
          <w:rFonts w:hint="eastAsia" w:ascii="仿宋_GB2312" w:hAnsi="仿宋" w:eastAsia="仿宋_GB2312"/>
          <w:sz w:val="32"/>
          <w:szCs w:val="32"/>
          <w:lang w:eastAsia="zh-CN"/>
        </w:rPr>
        <w:t>人员增加</w:t>
      </w:r>
      <w:r>
        <w:rPr>
          <w:rFonts w:hint="eastAsia" w:ascii="仿宋_GB2312" w:hAnsi="仿宋" w:eastAsia="仿宋_GB2312"/>
          <w:sz w:val="32"/>
          <w:szCs w:val="32"/>
        </w:rPr>
        <w:t>其他公共卫生支出</w:t>
      </w:r>
      <w:r>
        <w:rPr>
          <w:rFonts w:hint="eastAsia" w:ascii="仿宋_GB2312" w:hAnsi="仿宋" w:eastAsia="仿宋_GB2312"/>
          <w:sz w:val="32"/>
          <w:szCs w:val="32"/>
          <w:lang w:eastAsia="zh-CN"/>
        </w:rPr>
        <w:t>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color w:val="000000" w:themeColor="text1"/>
          <w:sz w:val="32"/>
          <w:szCs w:val="32"/>
        </w:rPr>
      </w:pPr>
      <w:r>
        <w:rPr>
          <w:rFonts w:hint="eastAsia" w:ascii="仿宋_GB2312" w:hAnsi="仿宋" w:eastAsia="仿宋_GB2312"/>
          <w:b/>
          <w:sz w:val="32"/>
          <w:szCs w:val="32"/>
          <w:lang w:val="en-US" w:eastAsia="zh-CN"/>
        </w:rPr>
        <w:t>6</w:t>
      </w:r>
      <w:r>
        <w:rPr>
          <w:rFonts w:ascii="仿宋_GB2312" w:hAnsi="仿宋" w:eastAsia="仿宋_GB2312"/>
          <w:b/>
          <w:sz w:val="32"/>
          <w:szCs w:val="32"/>
        </w:rPr>
        <w:t>.</w:t>
      </w:r>
      <w:r>
        <w:rPr>
          <w:rFonts w:hint="eastAsia" w:ascii="仿宋_GB2312" w:hAnsi="仿宋" w:eastAsia="仿宋_GB2312"/>
          <w:b/>
          <w:sz w:val="32"/>
          <w:szCs w:val="32"/>
        </w:rPr>
        <w:t>卫生健康支出（类）行政事业单位医疗（款）行政单位医疗（项）</w:t>
      </w:r>
      <w:r>
        <w:rPr>
          <w:rFonts w:ascii="仿宋_GB2312" w:hAnsi="仿宋" w:eastAsia="仿宋_GB2312"/>
          <w:sz w:val="32"/>
          <w:szCs w:val="32"/>
        </w:rPr>
        <w:t>2022</w:t>
      </w:r>
      <w:r>
        <w:rPr>
          <w:rFonts w:hint="eastAsia" w:ascii="仿宋_GB2312" w:hAnsi="仿宋" w:eastAsia="仿宋_GB2312"/>
          <w:sz w:val="32"/>
          <w:szCs w:val="32"/>
        </w:rPr>
        <w:t>年预</w:t>
      </w:r>
      <w:r>
        <w:rPr>
          <w:rFonts w:hint="eastAsia" w:ascii="仿宋_GB2312" w:hAnsi="仿宋" w:eastAsia="仿宋_GB2312"/>
          <w:color w:val="000000" w:themeColor="text1"/>
          <w:sz w:val="32"/>
          <w:szCs w:val="32"/>
        </w:rPr>
        <w:t>算</w:t>
      </w:r>
      <w:r>
        <w:rPr>
          <w:rFonts w:hint="eastAsia" w:ascii="仿宋_GB2312" w:hAnsi="仿宋" w:eastAsia="仿宋_GB2312"/>
          <w:color w:val="000000" w:themeColor="text1"/>
          <w:sz w:val="32"/>
          <w:szCs w:val="32"/>
          <w:lang w:val="en-US" w:eastAsia="zh-CN"/>
        </w:rPr>
        <w:t>20.03</w:t>
      </w:r>
      <w:r>
        <w:rPr>
          <w:rFonts w:hint="eastAsia" w:ascii="仿宋_GB2312" w:hAnsi="仿宋" w:eastAsia="仿宋_GB2312"/>
          <w:color w:val="000000" w:themeColor="text1"/>
          <w:sz w:val="32"/>
          <w:szCs w:val="32"/>
        </w:rPr>
        <w:t>万元，比</w:t>
      </w:r>
      <w:r>
        <w:rPr>
          <w:rFonts w:ascii="仿宋_GB2312" w:hAnsi="仿宋" w:eastAsia="仿宋_GB2312"/>
          <w:color w:val="000000" w:themeColor="text1"/>
          <w:sz w:val="32"/>
          <w:szCs w:val="32"/>
        </w:rPr>
        <w:t>2021</w:t>
      </w:r>
      <w:r>
        <w:rPr>
          <w:rFonts w:hint="eastAsia" w:ascii="仿宋_GB2312" w:hAnsi="仿宋" w:eastAsia="仿宋_GB2312"/>
          <w:color w:val="000000" w:themeColor="text1"/>
          <w:sz w:val="32"/>
          <w:szCs w:val="32"/>
        </w:rPr>
        <w:t>年预算增加</w:t>
      </w:r>
      <w:r>
        <w:rPr>
          <w:rFonts w:hint="eastAsia" w:ascii="仿宋_GB2312" w:hAnsi="仿宋" w:eastAsia="仿宋_GB2312"/>
          <w:color w:val="000000" w:themeColor="text1"/>
          <w:sz w:val="32"/>
          <w:szCs w:val="32"/>
          <w:lang w:val="en-US" w:eastAsia="zh-CN"/>
        </w:rPr>
        <w:t>9.61</w:t>
      </w:r>
      <w:r>
        <w:rPr>
          <w:rFonts w:hint="eastAsia" w:ascii="仿宋_GB2312" w:hAnsi="仿宋" w:eastAsia="仿宋_GB2312"/>
          <w:color w:val="000000" w:themeColor="text1"/>
          <w:sz w:val="32"/>
          <w:szCs w:val="32"/>
        </w:rPr>
        <w:t>万元，增长</w:t>
      </w:r>
      <w:r>
        <w:rPr>
          <w:rFonts w:hint="eastAsia" w:ascii="仿宋_GB2312" w:hAnsi="仿宋" w:eastAsia="仿宋_GB2312"/>
          <w:color w:val="000000" w:themeColor="text1"/>
          <w:sz w:val="32"/>
          <w:szCs w:val="32"/>
          <w:lang w:val="en-US" w:eastAsia="zh-CN"/>
        </w:rPr>
        <w:t>92.23</w:t>
      </w:r>
      <w:r>
        <w:rPr>
          <w:rFonts w:ascii="仿宋_GB2312" w:hAnsi="仿宋" w:eastAsia="仿宋_GB2312"/>
          <w:color w:val="000000" w:themeColor="text1"/>
          <w:sz w:val="32"/>
          <w:szCs w:val="32"/>
        </w:rPr>
        <w:t>%</w:t>
      </w:r>
      <w:r>
        <w:rPr>
          <w:rFonts w:hint="eastAsia" w:ascii="仿宋_GB2312" w:hAnsi="仿宋" w:eastAsia="仿宋_GB2312"/>
          <w:color w:val="000000" w:themeColor="text1"/>
          <w:sz w:val="32"/>
          <w:szCs w:val="32"/>
        </w:rPr>
        <w:t>，增长原因主要是</w:t>
      </w:r>
      <w:r>
        <w:rPr>
          <w:rFonts w:hint="eastAsia" w:ascii="仿宋_GB2312" w:hAnsi="仿宋" w:eastAsia="仿宋_GB2312"/>
          <w:sz w:val="32"/>
          <w:szCs w:val="32"/>
          <w:lang w:eastAsia="zh-CN"/>
        </w:rPr>
        <w:t>人员增加</w:t>
      </w:r>
      <w:r>
        <w:rPr>
          <w:rFonts w:hint="eastAsia" w:ascii="仿宋_GB2312" w:hAnsi="仿宋" w:eastAsia="仿宋_GB2312"/>
          <w:color w:val="000000" w:themeColor="text1"/>
          <w:sz w:val="32"/>
          <w:szCs w:val="32"/>
        </w:rPr>
        <w:t>医疗支出</w:t>
      </w:r>
      <w:r>
        <w:rPr>
          <w:rFonts w:hint="eastAsia" w:ascii="仿宋_GB2312" w:hAnsi="仿宋" w:eastAsia="仿宋_GB2312"/>
          <w:color w:val="000000" w:themeColor="text1"/>
          <w:sz w:val="32"/>
          <w:szCs w:val="32"/>
          <w:lang w:eastAsia="zh-CN"/>
        </w:rPr>
        <w:t>增加</w:t>
      </w:r>
      <w:r>
        <w:rPr>
          <w:rFonts w:hint="eastAsia" w:ascii="仿宋_GB2312" w:hAnsi="仿宋" w:eastAsia="仿宋_GB2312"/>
          <w:color w:val="000000" w:themeColor="text1"/>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color w:val="000000" w:themeColor="text1"/>
          <w:sz w:val="32"/>
          <w:szCs w:val="32"/>
          <w:lang w:val="en-US" w:eastAsia="zh-CN"/>
        </w:rPr>
        <w:t>7</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卫生健康支出（类）行政事业单位医疗（款）事业单位医疗（项）</w:t>
      </w:r>
      <w:r>
        <w:rPr>
          <w:rFonts w:ascii="仿宋_GB2312" w:hAnsi="仿宋" w:eastAsia="仿宋_GB2312"/>
          <w:color w:val="000000" w:themeColor="text1"/>
          <w:sz w:val="32"/>
          <w:szCs w:val="32"/>
        </w:rPr>
        <w:t>2022</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3.29</w:t>
      </w:r>
      <w:r>
        <w:rPr>
          <w:rFonts w:hint="eastAsia" w:ascii="仿宋_GB2312" w:hAnsi="仿宋" w:eastAsia="仿宋_GB2312"/>
          <w:color w:val="000000" w:themeColor="text1"/>
          <w:sz w:val="32"/>
          <w:szCs w:val="32"/>
        </w:rPr>
        <w:t>万元，比</w:t>
      </w:r>
      <w:r>
        <w:rPr>
          <w:rFonts w:ascii="仿宋_GB2312" w:hAnsi="仿宋" w:eastAsia="仿宋_GB2312"/>
          <w:color w:val="000000" w:themeColor="text1"/>
          <w:sz w:val="32"/>
          <w:szCs w:val="32"/>
        </w:rPr>
        <w:t>2021</w:t>
      </w:r>
      <w:r>
        <w:rPr>
          <w:rFonts w:hint="eastAsia" w:ascii="仿宋_GB2312" w:hAnsi="仿宋" w:eastAsia="仿宋_GB2312"/>
          <w:color w:val="000000" w:themeColor="text1"/>
          <w:sz w:val="32"/>
          <w:szCs w:val="32"/>
        </w:rPr>
        <w:t>年预算增加</w:t>
      </w:r>
      <w:r>
        <w:rPr>
          <w:rFonts w:hint="eastAsia" w:ascii="仿宋_GB2312" w:hAnsi="仿宋" w:eastAsia="仿宋_GB2312"/>
          <w:color w:val="000000" w:themeColor="text1"/>
          <w:sz w:val="32"/>
          <w:szCs w:val="32"/>
          <w:lang w:val="en-US" w:eastAsia="zh-CN"/>
        </w:rPr>
        <w:t>1.66</w:t>
      </w:r>
      <w:r>
        <w:rPr>
          <w:rFonts w:hint="eastAsia" w:ascii="仿宋_GB2312" w:hAnsi="仿宋" w:eastAsia="仿宋_GB2312"/>
          <w:color w:val="000000" w:themeColor="text1"/>
          <w:sz w:val="32"/>
          <w:szCs w:val="32"/>
        </w:rPr>
        <w:t>万元，增长</w:t>
      </w:r>
      <w:r>
        <w:rPr>
          <w:rFonts w:hint="eastAsia" w:ascii="仿宋_GB2312" w:hAnsi="仿宋" w:eastAsia="仿宋_GB2312"/>
          <w:color w:val="000000" w:themeColor="text1"/>
          <w:sz w:val="32"/>
          <w:szCs w:val="32"/>
          <w:lang w:val="en-US" w:eastAsia="zh-CN"/>
        </w:rPr>
        <w:t>101.84</w:t>
      </w:r>
      <w:r>
        <w:rPr>
          <w:rFonts w:ascii="仿宋_GB2312" w:hAnsi="仿宋" w:eastAsia="仿宋_GB2312"/>
          <w:color w:val="000000" w:themeColor="text1"/>
          <w:sz w:val="32"/>
          <w:szCs w:val="32"/>
        </w:rPr>
        <w:t>%</w:t>
      </w:r>
      <w:r>
        <w:rPr>
          <w:rFonts w:hint="eastAsia" w:ascii="仿宋_GB2312" w:hAnsi="仿宋" w:eastAsia="仿宋_GB2312"/>
          <w:color w:val="000000" w:themeColor="text1"/>
          <w:sz w:val="32"/>
          <w:szCs w:val="32"/>
        </w:rPr>
        <w:t>，增长</w:t>
      </w:r>
      <w:r>
        <w:rPr>
          <w:rFonts w:hint="eastAsia" w:ascii="仿宋_GB2312" w:hAnsi="仿宋" w:eastAsia="仿宋_GB2312"/>
          <w:sz w:val="32"/>
          <w:szCs w:val="32"/>
        </w:rPr>
        <w:t>原因主要是事业</w:t>
      </w:r>
      <w:r>
        <w:rPr>
          <w:rFonts w:hint="eastAsia" w:ascii="仿宋_GB2312" w:hAnsi="仿宋" w:eastAsia="仿宋_GB2312"/>
          <w:sz w:val="32"/>
          <w:szCs w:val="32"/>
          <w:lang w:eastAsia="zh-CN"/>
        </w:rPr>
        <w:t>人员增加</w:t>
      </w:r>
      <w:r>
        <w:rPr>
          <w:rFonts w:hint="eastAsia" w:ascii="仿宋_GB2312" w:hAnsi="仿宋" w:eastAsia="仿宋_GB2312"/>
          <w:sz w:val="32"/>
          <w:szCs w:val="32"/>
        </w:rPr>
        <w:t>单位医疗</w:t>
      </w:r>
      <w:r>
        <w:rPr>
          <w:rFonts w:hint="eastAsia" w:ascii="仿宋_GB2312" w:hAnsi="仿宋" w:eastAsia="仿宋_GB2312"/>
          <w:sz w:val="32"/>
          <w:szCs w:val="32"/>
          <w:lang w:eastAsia="zh-CN"/>
        </w:rPr>
        <w:t>支出增加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color w:val="000000" w:themeColor="text1"/>
          <w:sz w:val="32"/>
          <w:szCs w:val="32"/>
          <w:lang w:val="en-US" w:eastAsia="zh-CN"/>
        </w:rPr>
        <w:t>8</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卫生健康支出（类</w:t>
      </w:r>
      <w:r>
        <w:rPr>
          <w:rFonts w:hint="eastAsia" w:ascii="仿宋_GB2312" w:hAnsi="仿宋" w:eastAsia="仿宋_GB2312"/>
          <w:b/>
          <w:sz w:val="32"/>
          <w:szCs w:val="32"/>
        </w:rPr>
        <w:t>）行政事业单位医疗（款）事公务员医疗补助（项）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4.32</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0.32</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8</w:t>
      </w:r>
      <w:r>
        <w:rPr>
          <w:rFonts w:ascii="仿宋_GB2312" w:hAnsi="仿宋" w:eastAsia="仿宋_GB2312"/>
          <w:sz w:val="32"/>
          <w:szCs w:val="32"/>
        </w:rPr>
        <w:t>%</w:t>
      </w:r>
      <w:r>
        <w:rPr>
          <w:rFonts w:hint="eastAsia" w:ascii="仿宋_GB2312" w:hAnsi="仿宋" w:eastAsia="仿宋_GB2312"/>
          <w:sz w:val="32"/>
          <w:szCs w:val="32"/>
        </w:rPr>
        <w:t>，增长原因主要是公务员医疗补助</w:t>
      </w:r>
      <w:r>
        <w:rPr>
          <w:rFonts w:hint="eastAsia" w:ascii="仿宋_GB2312" w:hAnsi="仿宋" w:eastAsia="仿宋_GB2312"/>
          <w:sz w:val="32"/>
          <w:szCs w:val="32"/>
          <w:lang w:eastAsia="zh-CN"/>
        </w:rPr>
        <w:t>支出增加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color w:val="000000" w:themeColor="text1"/>
          <w:sz w:val="32"/>
          <w:szCs w:val="32"/>
          <w:lang w:val="en-US" w:eastAsia="zh-CN"/>
        </w:rPr>
        <w:t>9</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卫生健康支出（类</w:t>
      </w:r>
      <w:r>
        <w:rPr>
          <w:rFonts w:hint="eastAsia" w:ascii="仿宋_GB2312" w:hAnsi="仿宋" w:eastAsia="仿宋_GB2312"/>
          <w:b/>
          <w:sz w:val="32"/>
          <w:szCs w:val="32"/>
        </w:rPr>
        <w:t>）行政事业单位医疗（款）其他行政事业单位医疗支出（项）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200</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191.33</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2206.81</w:t>
      </w:r>
      <w:r>
        <w:rPr>
          <w:rFonts w:ascii="仿宋_GB2312" w:hAnsi="仿宋" w:eastAsia="仿宋_GB2312"/>
          <w:sz w:val="32"/>
          <w:szCs w:val="32"/>
        </w:rPr>
        <w:t>%</w:t>
      </w:r>
      <w:r>
        <w:rPr>
          <w:rFonts w:hint="eastAsia" w:ascii="仿宋_GB2312" w:hAnsi="仿宋" w:eastAsia="仿宋_GB2312"/>
          <w:sz w:val="32"/>
          <w:szCs w:val="32"/>
        </w:rPr>
        <w:t>，增长原因主要是其他行政事业单位医疗</w:t>
      </w:r>
      <w:r>
        <w:rPr>
          <w:rFonts w:hint="eastAsia" w:ascii="仿宋_GB2312" w:hAnsi="仿宋" w:eastAsia="仿宋_GB2312"/>
          <w:sz w:val="32"/>
          <w:szCs w:val="32"/>
          <w:lang w:eastAsia="zh-CN"/>
        </w:rPr>
        <w:t>支出增加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color w:val="000000" w:themeColor="text1"/>
          <w:sz w:val="32"/>
          <w:szCs w:val="32"/>
          <w:lang w:val="en-US" w:eastAsia="zh-CN"/>
        </w:rPr>
        <w:t>10</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卫生健康支出（类</w:t>
      </w:r>
      <w:r>
        <w:rPr>
          <w:rFonts w:hint="eastAsia" w:ascii="仿宋_GB2312" w:hAnsi="仿宋" w:eastAsia="仿宋_GB2312"/>
          <w:b/>
          <w:sz w:val="32"/>
          <w:szCs w:val="32"/>
        </w:rPr>
        <w:t>）医疗保障管理事务（款）行政运行（项）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131.11</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w:t>
      </w:r>
      <w:r>
        <w:rPr>
          <w:rFonts w:hint="eastAsia" w:ascii="仿宋_GB2312" w:hAnsi="仿宋" w:eastAsia="仿宋_GB2312"/>
          <w:sz w:val="32"/>
          <w:szCs w:val="32"/>
          <w:lang w:eastAsia="zh-CN"/>
        </w:rPr>
        <w:t>减少</w:t>
      </w:r>
      <w:r>
        <w:rPr>
          <w:rFonts w:hint="eastAsia" w:ascii="仿宋_GB2312" w:hAnsi="仿宋" w:eastAsia="仿宋_GB2312"/>
          <w:sz w:val="32"/>
          <w:szCs w:val="32"/>
          <w:lang w:val="en-US" w:eastAsia="zh-CN"/>
        </w:rPr>
        <w:t>6.58</w:t>
      </w:r>
      <w:r>
        <w:rPr>
          <w:rFonts w:hint="eastAsia" w:ascii="仿宋_GB2312" w:hAnsi="仿宋" w:eastAsia="仿宋_GB2312"/>
          <w:sz w:val="32"/>
          <w:szCs w:val="32"/>
        </w:rPr>
        <w:t>万元，</w:t>
      </w:r>
      <w:r>
        <w:rPr>
          <w:rFonts w:hint="eastAsia" w:ascii="仿宋_GB2312" w:hAnsi="仿宋" w:eastAsia="仿宋_GB2312"/>
          <w:sz w:val="32"/>
          <w:szCs w:val="32"/>
          <w:lang w:eastAsia="zh-CN"/>
        </w:rPr>
        <w:t>下降</w:t>
      </w:r>
      <w:r>
        <w:rPr>
          <w:rFonts w:hint="eastAsia" w:ascii="仿宋_GB2312" w:hAnsi="仿宋" w:eastAsia="仿宋_GB2312"/>
          <w:sz w:val="32"/>
          <w:szCs w:val="32"/>
          <w:lang w:val="en-US" w:eastAsia="zh-CN"/>
        </w:rPr>
        <w:t>4.78</w:t>
      </w:r>
      <w:r>
        <w:rPr>
          <w:rFonts w:ascii="仿宋_GB2312" w:hAnsi="仿宋" w:eastAsia="仿宋_GB2312"/>
          <w:sz w:val="32"/>
          <w:szCs w:val="32"/>
        </w:rPr>
        <w:t>%</w:t>
      </w:r>
      <w:r>
        <w:rPr>
          <w:rFonts w:hint="eastAsia" w:ascii="仿宋_GB2312" w:hAnsi="仿宋" w:eastAsia="仿宋_GB2312"/>
          <w:sz w:val="32"/>
          <w:szCs w:val="32"/>
        </w:rPr>
        <w:t>，</w:t>
      </w:r>
      <w:r>
        <w:rPr>
          <w:rFonts w:hint="eastAsia" w:ascii="仿宋_GB2312" w:hAnsi="仿宋" w:eastAsia="仿宋_GB2312"/>
          <w:sz w:val="32"/>
          <w:szCs w:val="32"/>
          <w:lang w:eastAsia="zh-CN"/>
        </w:rPr>
        <w:t>下降</w:t>
      </w:r>
      <w:r>
        <w:rPr>
          <w:rFonts w:hint="eastAsia" w:ascii="仿宋_GB2312" w:hAnsi="仿宋" w:eastAsia="仿宋_GB2312"/>
          <w:sz w:val="32"/>
          <w:szCs w:val="32"/>
        </w:rPr>
        <w:t>原因主要是行政运行</w:t>
      </w:r>
      <w:r>
        <w:rPr>
          <w:rFonts w:hint="eastAsia" w:ascii="仿宋_GB2312" w:hAnsi="仿宋" w:eastAsia="仿宋_GB2312"/>
          <w:sz w:val="32"/>
          <w:szCs w:val="32"/>
          <w:lang w:eastAsia="zh-CN"/>
        </w:rPr>
        <w:t>支出减少</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lang w:eastAsia="zh-CN"/>
        </w:rPr>
      </w:pPr>
      <w:r>
        <w:rPr>
          <w:rFonts w:hint="eastAsia" w:ascii="仿宋_GB2312" w:hAnsi="仿宋" w:eastAsia="仿宋_GB2312"/>
          <w:b/>
          <w:color w:val="000000" w:themeColor="text1"/>
          <w:sz w:val="32"/>
          <w:szCs w:val="32"/>
          <w:lang w:val="en-US" w:eastAsia="zh-CN"/>
        </w:rPr>
        <w:t>11</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卫生健康支出（类</w:t>
      </w:r>
      <w:r>
        <w:rPr>
          <w:rFonts w:hint="eastAsia" w:ascii="仿宋_GB2312" w:hAnsi="仿宋" w:eastAsia="仿宋_GB2312"/>
          <w:b/>
          <w:sz w:val="32"/>
          <w:szCs w:val="32"/>
        </w:rPr>
        <w:t>）医疗保障管理事务（款）一般行政管理事务（项）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4798</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60</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1.27</w:t>
      </w:r>
      <w:r>
        <w:rPr>
          <w:rFonts w:ascii="仿宋_GB2312" w:hAnsi="仿宋" w:eastAsia="仿宋_GB2312"/>
          <w:sz w:val="32"/>
          <w:szCs w:val="32"/>
        </w:rPr>
        <w:t>%</w:t>
      </w:r>
      <w:r>
        <w:rPr>
          <w:rFonts w:hint="eastAsia" w:ascii="仿宋_GB2312" w:hAnsi="仿宋" w:eastAsia="仿宋_GB2312"/>
          <w:sz w:val="32"/>
          <w:szCs w:val="32"/>
        </w:rPr>
        <w:t>，增长原因主要是</w:t>
      </w:r>
      <w:r>
        <w:rPr>
          <w:rFonts w:hint="eastAsia" w:ascii="仿宋_GB2312" w:hAnsi="仿宋" w:eastAsia="仿宋_GB2312"/>
          <w:sz w:val="32"/>
          <w:szCs w:val="32"/>
          <w:lang w:eastAsia="zh-CN"/>
        </w:rPr>
        <w:t>项目支出增加。</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color w:val="000000" w:themeColor="text1"/>
          <w:sz w:val="32"/>
          <w:szCs w:val="32"/>
          <w:lang w:val="en-US" w:eastAsia="zh-CN"/>
        </w:rPr>
        <w:t>12</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卫生健康支出（类</w:t>
      </w:r>
      <w:r>
        <w:rPr>
          <w:rFonts w:hint="eastAsia" w:ascii="仿宋_GB2312" w:hAnsi="仿宋" w:eastAsia="仿宋_GB2312"/>
          <w:b/>
          <w:sz w:val="32"/>
          <w:szCs w:val="32"/>
        </w:rPr>
        <w:t>）医疗保障管理事务（款）信息化建设（项）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420</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420</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，增长原因主要是信息化建设</w:t>
      </w:r>
      <w:r>
        <w:rPr>
          <w:rFonts w:hint="eastAsia" w:ascii="仿宋_GB2312" w:hAnsi="仿宋" w:eastAsia="仿宋_GB2312"/>
          <w:sz w:val="32"/>
          <w:szCs w:val="32"/>
          <w:lang w:eastAsia="zh-CN"/>
        </w:rPr>
        <w:t>支出增加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color w:val="000000" w:themeColor="text1"/>
          <w:sz w:val="32"/>
          <w:szCs w:val="32"/>
          <w:lang w:val="en-US" w:eastAsia="zh-CN"/>
        </w:rPr>
        <w:t>13</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卫生健康支出（类</w:t>
      </w:r>
      <w:r>
        <w:rPr>
          <w:rFonts w:hint="eastAsia" w:ascii="仿宋_GB2312" w:hAnsi="仿宋" w:eastAsia="仿宋_GB2312"/>
          <w:b/>
          <w:sz w:val="32"/>
          <w:szCs w:val="32"/>
        </w:rPr>
        <w:t>）医疗保障管理事务（款）其他医疗保障管理事务支出（项）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182.96</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182.96</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，增长原因主要是其他医疗保障管理事务</w:t>
      </w:r>
      <w:r>
        <w:rPr>
          <w:rFonts w:hint="eastAsia" w:ascii="仿宋_GB2312" w:hAnsi="仿宋" w:eastAsia="仿宋_GB2312"/>
          <w:sz w:val="32"/>
          <w:szCs w:val="32"/>
          <w:lang w:eastAsia="zh-CN"/>
        </w:rPr>
        <w:t>支出增加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14</w:t>
      </w:r>
      <w:r>
        <w:rPr>
          <w:rFonts w:ascii="仿宋_GB2312" w:hAnsi="仿宋" w:eastAsia="仿宋_GB2312"/>
          <w:b/>
          <w:sz w:val="32"/>
          <w:szCs w:val="32"/>
        </w:rPr>
        <w:t>.</w:t>
      </w:r>
      <w:r>
        <w:rPr>
          <w:rFonts w:hint="eastAsia" w:ascii="仿宋_GB2312" w:hAnsi="仿宋" w:eastAsia="仿宋_GB2312"/>
          <w:b/>
          <w:sz w:val="32"/>
          <w:szCs w:val="32"/>
        </w:rPr>
        <w:t>住房保障支出（类）住房改革支出（款）住房公积金（项）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40.16</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24.5</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156.45</w:t>
      </w:r>
      <w:r>
        <w:rPr>
          <w:rFonts w:ascii="仿宋_GB2312" w:hAnsi="仿宋" w:eastAsia="仿宋_GB2312"/>
          <w:sz w:val="32"/>
          <w:szCs w:val="32"/>
        </w:rPr>
        <w:t>%</w:t>
      </w:r>
      <w:r>
        <w:rPr>
          <w:rFonts w:hint="eastAsia" w:ascii="仿宋_GB2312" w:hAnsi="仿宋" w:eastAsia="仿宋_GB2312"/>
          <w:sz w:val="32"/>
          <w:szCs w:val="32"/>
        </w:rPr>
        <w:t>，增长原因主要是</w:t>
      </w:r>
      <w:r>
        <w:rPr>
          <w:rFonts w:hint="eastAsia" w:ascii="仿宋_GB2312" w:hAnsi="仿宋" w:eastAsia="仿宋_GB2312"/>
          <w:sz w:val="32"/>
          <w:szCs w:val="32"/>
          <w:lang w:eastAsia="zh-CN"/>
        </w:rPr>
        <w:t>人员增加</w:t>
      </w:r>
      <w:r>
        <w:rPr>
          <w:rFonts w:hint="eastAsia" w:ascii="仿宋_GB2312" w:hAnsi="仿宋" w:eastAsia="仿宋_GB2312"/>
          <w:sz w:val="32"/>
          <w:szCs w:val="32"/>
        </w:rPr>
        <w:t>住房公积金</w:t>
      </w:r>
      <w:r>
        <w:rPr>
          <w:rFonts w:hint="eastAsia" w:ascii="仿宋_GB2312" w:hAnsi="仿宋" w:eastAsia="仿宋_GB2312"/>
          <w:sz w:val="32"/>
          <w:szCs w:val="32"/>
          <w:lang w:eastAsia="zh-CN"/>
        </w:rPr>
        <w:t>支出增加</w:t>
      </w:r>
      <w:r>
        <w:rPr>
          <w:rFonts w:hint="eastAsia" w:ascii="仿宋_GB2312" w:hAnsi="仿宋" w:eastAsia="仿宋_GB2312"/>
          <w:sz w:val="32"/>
          <w:szCs w:val="32"/>
        </w:rPr>
        <w:t>。</w:t>
      </w:r>
    </w:p>
    <w:p>
      <w:pPr>
        <w:adjustRightInd w:val="0"/>
        <w:snapToGrid w:val="0"/>
        <w:spacing w:line="600" w:lineRule="exact"/>
        <w:ind w:firstLine="643"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15</w:t>
      </w:r>
      <w:r>
        <w:rPr>
          <w:rFonts w:ascii="仿宋_GB2312" w:hAnsi="仿宋" w:eastAsia="仿宋_GB2312"/>
          <w:b/>
          <w:sz w:val="32"/>
          <w:szCs w:val="32"/>
        </w:rPr>
        <w:t>.</w:t>
      </w:r>
      <w:r>
        <w:rPr>
          <w:rFonts w:hint="eastAsia" w:ascii="仿宋_GB2312" w:hAnsi="仿宋" w:eastAsia="仿宋_GB2312"/>
          <w:b/>
          <w:sz w:val="32"/>
          <w:szCs w:val="32"/>
        </w:rPr>
        <w:t>住房保障支出（类）住房改革支出（款）提租补贴（项）</w:t>
      </w:r>
      <w:r>
        <w:rPr>
          <w:rFonts w:ascii="仿宋_GB2312" w:hAnsi="仿宋" w:eastAsia="仿宋_GB2312"/>
          <w:sz w:val="32"/>
          <w:szCs w:val="32"/>
        </w:rPr>
        <w:t>2022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24.05</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24.05</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，增长原因主要是</w:t>
      </w:r>
      <w:r>
        <w:rPr>
          <w:rFonts w:hint="eastAsia" w:ascii="仿宋_GB2312" w:hAnsi="仿宋" w:eastAsia="仿宋_GB2312"/>
          <w:sz w:val="32"/>
          <w:szCs w:val="32"/>
          <w:lang w:eastAsia="zh-CN"/>
        </w:rPr>
        <w:t>增发</w:t>
      </w:r>
      <w:r>
        <w:rPr>
          <w:rFonts w:hint="eastAsia" w:ascii="仿宋_GB2312" w:hAnsi="仿宋" w:eastAsia="仿宋_GB2312"/>
          <w:sz w:val="32"/>
          <w:szCs w:val="32"/>
        </w:rPr>
        <w:t>提租补贴</w:t>
      </w:r>
      <w:r>
        <w:rPr>
          <w:rFonts w:hint="eastAsia" w:ascii="仿宋_GB2312" w:hAnsi="仿宋" w:eastAsia="仿宋_GB2312"/>
          <w:sz w:val="32"/>
          <w:szCs w:val="32"/>
          <w:lang w:eastAsia="zh-CN"/>
        </w:rPr>
        <w:t>支出</w:t>
      </w:r>
      <w:r>
        <w:rPr>
          <w:rFonts w:hint="eastAsia" w:ascii="仿宋_GB2312" w:hAnsi="仿宋" w:eastAsia="仿宋_GB2312"/>
          <w:sz w:val="32"/>
          <w:szCs w:val="32"/>
        </w:rPr>
        <w:t>。</w:t>
      </w:r>
    </w:p>
    <w:p>
      <w:pPr>
        <w:pStyle w:val="5"/>
        <w:adjustRightInd w:val="0"/>
        <w:snapToGrid w:val="0"/>
        <w:spacing w:before="0" w:beforeAutospacing="0" w:after="0" w:afterAutospacing="0" w:line="600" w:lineRule="exact"/>
        <w:ind w:firstLine="640" w:firstLineChars="200"/>
        <w:rPr>
          <w:rFonts w:ascii="黑体" w:eastAsia="黑体"/>
          <w:color w:val="000000"/>
        </w:rPr>
      </w:pPr>
      <w:r>
        <w:rPr>
          <w:rFonts w:hint="eastAsia" w:ascii="黑体" w:hAnsi="仿宋" w:eastAsia="黑体" w:cs="Times New Roman"/>
          <w:color w:val="000000"/>
          <w:kern w:val="2"/>
          <w:sz w:val="32"/>
          <w:szCs w:val="32"/>
        </w:rPr>
        <w:t>六、关于</w:t>
      </w:r>
      <w:r>
        <w:rPr>
          <w:rFonts w:ascii="黑体" w:hAnsi="仿宋" w:eastAsia="黑体" w:cs="Times New Roman"/>
          <w:color w:val="000000"/>
          <w:kern w:val="2"/>
          <w:sz w:val="32"/>
          <w:szCs w:val="32"/>
        </w:rPr>
        <w:t>2022</w:t>
      </w:r>
      <w:r>
        <w:rPr>
          <w:rFonts w:hint="eastAsia" w:ascii="黑体" w:hAnsi="仿宋" w:eastAsia="黑体" w:cs="Times New Roman"/>
          <w:color w:val="000000"/>
          <w:kern w:val="2"/>
          <w:sz w:val="32"/>
          <w:szCs w:val="32"/>
        </w:rPr>
        <w:t>年一般公共预算基本支出表的说明</w:t>
      </w:r>
    </w:p>
    <w:p>
      <w:pPr>
        <w:ind w:firstLine="640" w:firstLineChars="200"/>
        <w:rPr>
          <w:rFonts w:ascii="仿宋_GB2312" w:hAnsi="仿宋" w:eastAsia="仿宋_GB2312"/>
          <w:sz w:val="32"/>
          <w:szCs w:val="32"/>
        </w:rPr>
      </w:pPr>
      <w:r>
        <w:rPr>
          <w:rFonts w:hint="eastAsia" w:ascii="仿宋_GB2312" w:hAnsi="仿宋" w:eastAsia="仿宋_GB2312"/>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年一般公共预算基本支出</w:t>
      </w:r>
      <w:r>
        <w:rPr>
          <w:rFonts w:hint="eastAsia" w:ascii="仿宋_GB2312" w:hAnsi="仿宋" w:eastAsia="仿宋_GB2312"/>
          <w:sz w:val="32"/>
          <w:szCs w:val="32"/>
          <w:lang w:val="en-US" w:eastAsia="zh-CN"/>
        </w:rPr>
        <w:t>582.14</w:t>
      </w:r>
      <w:r>
        <w:rPr>
          <w:rFonts w:hint="eastAsia" w:ascii="仿宋_GB2312" w:hAnsi="仿宋" w:eastAsia="仿宋_GB2312"/>
          <w:sz w:val="32"/>
          <w:szCs w:val="32"/>
        </w:rPr>
        <w:t>万元，其中，人员经费</w:t>
      </w:r>
      <w:r>
        <w:rPr>
          <w:rFonts w:hint="eastAsia" w:ascii="仿宋_GB2312" w:hAnsi="仿宋" w:eastAsia="仿宋_GB2312"/>
          <w:sz w:val="32"/>
          <w:szCs w:val="32"/>
          <w:lang w:val="en-US" w:eastAsia="zh-CN"/>
        </w:rPr>
        <w:t>509.15</w:t>
      </w:r>
      <w:r>
        <w:rPr>
          <w:rFonts w:hint="eastAsia" w:ascii="仿宋_GB2312" w:hAnsi="仿宋" w:eastAsia="仿宋_GB2312"/>
          <w:sz w:val="32"/>
          <w:szCs w:val="32"/>
        </w:rPr>
        <w:t>万元，公用经费</w:t>
      </w:r>
      <w:r>
        <w:rPr>
          <w:rFonts w:hint="eastAsia" w:ascii="仿宋_GB2312" w:hAnsi="仿宋" w:eastAsia="仿宋_GB2312"/>
          <w:sz w:val="32"/>
          <w:szCs w:val="32"/>
          <w:lang w:val="en-US" w:eastAsia="zh-CN"/>
        </w:rPr>
        <w:t>72.99</w:t>
      </w:r>
      <w:r>
        <w:rPr>
          <w:rFonts w:hint="eastAsia" w:ascii="仿宋_GB2312" w:hAnsi="仿宋" w:eastAsia="仿宋_GB2312"/>
          <w:sz w:val="32"/>
          <w:szCs w:val="32"/>
        </w:rPr>
        <w:t>万元。</w:t>
      </w:r>
    </w:p>
    <w:p>
      <w:pPr>
        <w:ind w:firstLine="640" w:firstLineChars="200"/>
        <w:rPr>
          <w:rFonts w:ascii="仿宋_GB2312" w:hAnsi="仿宋" w:eastAsia="仿宋_GB2312"/>
          <w:color w:val="000000" w:themeColor="text1"/>
          <w:sz w:val="32"/>
          <w:szCs w:val="32"/>
          <w:u w:val="none"/>
        </w:rPr>
      </w:pPr>
      <w:r>
        <w:rPr>
          <w:rFonts w:hint="eastAsia" w:ascii="仿宋_GB2312" w:hAnsi="仿宋" w:eastAsia="仿宋_GB2312"/>
          <w:sz w:val="32"/>
          <w:szCs w:val="32"/>
        </w:rPr>
        <w:t>（一）人员经费</w:t>
      </w:r>
      <w:r>
        <w:rPr>
          <w:rFonts w:hint="eastAsia" w:ascii="仿宋_GB2312" w:hAnsi="仿宋" w:eastAsia="仿宋_GB2312"/>
          <w:sz w:val="32"/>
          <w:szCs w:val="32"/>
          <w:lang w:val="en-US" w:eastAsia="zh-CN"/>
        </w:rPr>
        <w:t>509.15</w:t>
      </w:r>
      <w:r>
        <w:rPr>
          <w:rFonts w:hint="eastAsia" w:ascii="仿宋_GB2312" w:hAnsi="仿宋" w:eastAsia="仿宋_GB2312"/>
          <w:sz w:val="32"/>
          <w:szCs w:val="32"/>
        </w:rPr>
        <w:t>万元，主</w:t>
      </w:r>
      <w:r>
        <w:rPr>
          <w:rFonts w:hint="eastAsia" w:ascii="仿宋_GB2312" w:hAnsi="仿宋" w:eastAsia="仿宋_GB2312"/>
          <w:color w:val="000000" w:themeColor="text1"/>
          <w:sz w:val="32"/>
          <w:szCs w:val="32"/>
        </w:rPr>
        <w:t>要包括</w:t>
      </w:r>
      <w:r>
        <w:rPr>
          <w:rFonts w:ascii="仿宋_GB2312" w:hAnsi="仿宋" w:eastAsia="仿宋_GB2312"/>
          <w:color w:val="000000" w:themeColor="text1"/>
          <w:sz w:val="32"/>
          <w:szCs w:val="32"/>
        </w:rPr>
        <w:t>:</w:t>
      </w:r>
      <w:r>
        <w:rPr>
          <w:rFonts w:hint="eastAsia" w:ascii="仿宋_GB2312" w:hAnsi="仿宋" w:eastAsia="仿宋_GB2312"/>
          <w:color w:val="000000" w:themeColor="text1"/>
          <w:sz w:val="32"/>
          <w:szCs w:val="32"/>
          <w:u w:val="none"/>
        </w:rPr>
        <w:t>基本工资、津贴补贴、奖金、绩效工资、机关事业单位基本养老保险费、职工基本医疗保险缴费、公务员医疗补助缴费、其他社会保障缴费、住房公积金、其他工资福利支出、退休费、医疗费补助、奖励金、对其他个人和家庭的补助支出。</w:t>
      </w:r>
    </w:p>
    <w:p>
      <w:pPr>
        <w:ind w:firstLine="640" w:firstLineChars="200"/>
        <w:rPr>
          <w:rFonts w:hint="eastAsia" w:ascii="仿宋_GB2312" w:hAnsi="仿宋" w:eastAsia="仿宋_GB2312"/>
          <w:color w:val="000000" w:themeColor="text1"/>
          <w:sz w:val="32"/>
          <w:szCs w:val="32"/>
          <w:u w:val="none"/>
        </w:rPr>
      </w:pPr>
      <w:r>
        <w:rPr>
          <w:rFonts w:hint="eastAsia" w:ascii="仿宋_GB2312" w:hAnsi="仿宋" w:eastAsia="仿宋_GB2312"/>
          <w:sz w:val="32"/>
          <w:szCs w:val="32"/>
        </w:rPr>
        <w:t>（二）公用经费</w:t>
      </w:r>
      <w:r>
        <w:rPr>
          <w:rFonts w:hint="eastAsia" w:ascii="仿宋_GB2312" w:hAnsi="仿宋" w:eastAsia="仿宋_GB2312"/>
          <w:sz w:val="32"/>
          <w:szCs w:val="32"/>
          <w:lang w:val="en-US" w:eastAsia="zh-CN"/>
        </w:rPr>
        <w:t>72.99</w:t>
      </w:r>
      <w:r>
        <w:rPr>
          <w:rFonts w:hint="eastAsia" w:ascii="仿宋_GB2312" w:hAnsi="仿宋" w:eastAsia="仿宋_GB2312"/>
          <w:sz w:val="32"/>
          <w:szCs w:val="32"/>
        </w:rPr>
        <w:t>万元，主要包括</w:t>
      </w:r>
      <w:r>
        <w:rPr>
          <w:rFonts w:hint="eastAsia" w:ascii="仿宋_GB2312" w:hAnsi="仿宋" w:eastAsia="仿宋_GB2312"/>
          <w:color w:val="000000" w:themeColor="text1"/>
          <w:sz w:val="32"/>
          <w:szCs w:val="32"/>
        </w:rPr>
        <w:t>：</w:t>
      </w:r>
      <w:r>
        <w:rPr>
          <w:rFonts w:hint="eastAsia" w:ascii="仿宋_GB2312" w:hAnsi="仿宋" w:eastAsia="仿宋_GB2312"/>
          <w:color w:val="000000" w:themeColor="text1"/>
          <w:sz w:val="32"/>
          <w:szCs w:val="32"/>
          <w:u w:val="none"/>
        </w:rPr>
        <w:t>办公费、会议费、培训费、公务接待费、工会经费、福利费、公务用车运行维护费、其他交通费用、其他商品服务支出。</w:t>
      </w:r>
    </w:p>
    <w:p>
      <w:pPr>
        <w:pStyle w:val="5"/>
        <w:adjustRightInd w:val="0"/>
        <w:snapToGrid w:val="0"/>
        <w:spacing w:before="0" w:beforeAutospacing="0" w:after="0" w:afterAutospacing="0" w:line="600" w:lineRule="exact"/>
        <w:ind w:firstLine="640" w:firstLineChars="200"/>
        <w:rPr>
          <w:rFonts w:ascii="楷体_GB2312" w:hAnsi="仿宋" w:eastAsia="楷体_GB2312" w:cs="Times New Roman"/>
          <w:color w:val="FF0000"/>
          <w:kern w:val="2"/>
          <w:sz w:val="32"/>
          <w:szCs w:val="32"/>
        </w:rPr>
      </w:pPr>
      <w:r>
        <w:rPr>
          <w:rFonts w:hint="eastAsia" w:ascii="黑体" w:hAnsi="仿宋" w:eastAsia="黑体"/>
          <w:sz w:val="32"/>
          <w:szCs w:val="32"/>
        </w:rPr>
        <w:t>七、关于</w:t>
      </w:r>
      <w:r>
        <w:rPr>
          <w:rFonts w:ascii="黑体" w:hAnsi="仿宋" w:eastAsia="黑体"/>
          <w:sz w:val="32"/>
          <w:szCs w:val="32"/>
        </w:rPr>
        <w:t>2022</w:t>
      </w:r>
      <w:r>
        <w:rPr>
          <w:rFonts w:hint="eastAsia" w:ascii="黑体" w:hAnsi="仿宋" w:eastAsia="黑体"/>
          <w:sz w:val="32"/>
          <w:szCs w:val="32"/>
        </w:rPr>
        <w:t>年政府性基金预算支出表的说明</w:t>
      </w:r>
    </w:p>
    <w:p>
      <w:pPr>
        <w:pStyle w:val="5"/>
        <w:adjustRightInd w:val="0"/>
        <w:snapToGrid w:val="0"/>
        <w:spacing w:before="0" w:beforeAutospacing="0" w:after="0" w:afterAutospacing="0" w:line="580" w:lineRule="exact"/>
        <w:ind w:firstLine="640" w:firstLineChars="200"/>
        <w:jc w:val="both"/>
        <w:rPr>
          <w:rFonts w:ascii="仿宋_GB2312" w:hAnsi="仿宋" w:eastAsia="仿宋_GB2312"/>
          <w:sz w:val="32"/>
          <w:szCs w:val="32"/>
        </w:rPr>
      </w:pPr>
      <w:r>
        <w:rPr>
          <w:rFonts w:hint="eastAsia" w:ascii="仿宋_GB2312" w:hAnsi="仿宋" w:eastAsia="仿宋_GB2312"/>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年没有政府性基金预算拨款收入，也没有使用政府性基金预算拨款安排的支出。</w:t>
      </w:r>
    </w:p>
    <w:p>
      <w:pPr>
        <w:pStyle w:val="5"/>
        <w:adjustRightInd w:val="0"/>
        <w:snapToGrid w:val="0"/>
        <w:spacing w:before="0" w:beforeAutospacing="0" w:after="0" w:afterAutospacing="0" w:line="600" w:lineRule="exact"/>
        <w:ind w:firstLine="640" w:firstLineChars="200"/>
        <w:rPr>
          <w:rFonts w:ascii="黑体" w:hAnsi="仿宋" w:eastAsia="黑体"/>
          <w:sz w:val="32"/>
          <w:szCs w:val="32"/>
        </w:rPr>
      </w:pPr>
      <w:r>
        <w:rPr>
          <w:rFonts w:hint="eastAsia" w:ascii="黑体" w:hAnsi="仿宋" w:eastAsia="黑体"/>
          <w:sz w:val="32"/>
          <w:szCs w:val="32"/>
        </w:rPr>
        <w:t>八、关于</w:t>
      </w:r>
      <w:r>
        <w:rPr>
          <w:rFonts w:ascii="黑体" w:hAnsi="仿宋" w:eastAsia="黑体"/>
          <w:sz w:val="32"/>
          <w:szCs w:val="32"/>
        </w:rPr>
        <w:t>2022</w:t>
      </w:r>
      <w:r>
        <w:rPr>
          <w:rFonts w:hint="eastAsia" w:ascii="黑体" w:hAnsi="仿宋" w:eastAsia="黑体"/>
          <w:sz w:val="32"/>
          <w:szCs w:val="32"/>
        </w:rPr>
        <w:t>年国有资本经营预算支出表的说明</w:t>
      </w:r>
    </w:p>
    <w:p>
      <w:pPr>
        <w:pStyle w:val="5"/>
        <w:adjustRightInd w:val="0"/>
        <w:snapToGrid w:val="0"/>
        <w:spacing w:before="0" w:beforeAutospacing="0" w:after="0" w:afterAutospacing="0" w:line="60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年没有国有资本经营预算拨款收入，也没有使用国有资本经营预算拨款安排的支出。</w:t>
      </w:r>
    </w:p>
    <w:p>
      <w:pPr>
        <w:pStyle w:val="5"/>
        <w:adjustRightInd w:val="0"/>
        <w:snapToGrid w:val="0"/>
        <w:spacing w:before="0" w:beforeAutospacing="0" w:after="0" w:afterAutospacing="0" w:line="600" w:lineRule="exact"/>
        <w:ind w:firstLine="640" w:firstLineChars="200"/>
        <w:rPr>
          <w:rFonts w:ascii="黑体" w:hAnsi="仿宋" w:eastAsia="黑体"/>
          <w:sz w:val="32"/>
          <w:szCs w:val="32"/>
        </w:rPr>
      </w:pPr>
      <w:r>
        <w:rPr>
          <w:rFonts w:hint="eastAsia" w:ascii="黑体" w:hAnsi="仿宋" w:eastAsia="黑体"/>
          <w:sz w:val="32"/>
          <w:szCs w:val="32"/>
        </w:rPr>
        <w:t>九、关于</w:t>
      </w:r>
      <w:r>
        <w:rPr>
          <w:rFonts w:ascii="黑体" w:hAnsi="仿宋" w:eastAsia="黑体"/>
          <w:sz w:val="32"/>
          <w:szCs w:val="32"/>
        </w:rPr>
        <w:t>2022</w:t>
      </w:r>
      <w:r>
        <w:rPr>
          <w:rFonts w:hint="eastAsia" w:ascii="黑体" w:hAnsi="仿宋" w:eastAsia="黑体"/>
          <w:sz w:val="32"/>
          <w:szCs w:val="32"/>
        </w:rPr>
        <w:t>年项目支出表的说明</w:t>
      </w:r>
    </w:p>
    <w:p>
      <w:pPr>
        <w:pStyle w:val="5"/>
        <w:adjustRightInd w:val="0"/>
        <w:snapToGrid w:val="0"/>
        <w:spacing w:before="0" w:beforeAutospacing="0" w:after="0" w:afterAutospacing="0" w:line="60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年预算共安排项目支出</w:t>
      </w:r>
      <w:r>
        <w:rPr>
          <w:rFonts w:hint="eastAsia" w:ascii="仿宋_GB2312" w:hAnsi="仿宋" w:eastAsia="仿宋_GB2312"/>
          <w:sz w:val="32"/>
          <w:szCs w:val="32"/>
          <w:lang w:val="en-US" w:eastAsia="zh-CN"/>
        </w:rPr>
        <w:t>5698.16</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892.96</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18.58</w:t>
      </w:r>
      <w:r>
        <w:rPr>
          <w:rFonts w:ascii="仿宋_GB2312" w:hAnsi="仿宋" w:eastAsia="仿宋_GB2312"/>
          <w:sz w:val="32"/>
          <w:szCs w:val="32"/>
        </w:rPr>
        <w:t>%</w:t>
      </w:r>
      <w:r>
        <w:rPr>
          <w:rFonts w:hint="eastAsia" w:ascii="仿宋_GB2312" w:hAnsi="仿宋" w:eastAsia="仿宋_GB2312"/>
          <w:sz w:val="32"/>
          <w:szCs w:val="32"/>
        </w:rPr>
        <w:t>，增长原因主要是</w:t>
      </w:r>
      <w:r>
        <w:rPr>
          <w:rFonts w:hint="eastAsia" w:ascii="仿宋_GB2312" w:hAnsi="仿宋" w:eastAsia="仿宋_GB2312"/>
          <w:sz w:val="32"/>
          <w:szCs w:val="32"/>
          <w:lang w:eastAsia="zh-CN"/>
        </w:rPr>
        <w:t>下属部门</w:t>
      </w:r>
      <w:r>
        <w:rPr>
          <w:rFonts w:hint="eastAsia" w:ascii="仿宋_GB2312" w:hAnsi="仿宋" w:eastAsia="仿宋_GB2312"/>
          <w:sz w:val="32"/>
          <w:szCs w:val="32"/>
        </w:rPr>
        <w:t>经常性业务项目</w:t>
      </w:r>
      <w:r>
        <w:rPr>
          <w:rFonts w:hint="eastAsia" w:ascii="仿宋_GB2312" w:hAnsi="仿宋" w:eastAsia="仿宋_GB2312"/>
          <w:sz w:val="32"/>
          <w:szCs w:val="32"/>
          <w:lang w:eastAsia="zh-CN"/>
        </w:rPr>
        <w:t>支出增加</w:t>
      </w:r>
      <w:r>
        <w:rPr>
          <w:rFonts w:hint="eastAsia" w:ascii="仿宋_GB2312" w:hAnsi="仿宋" w:eastAsia="仿宋_GB2312"/>
          <w:sz w:val="32"/>
          <w:szCs w:val="32"/>
        </w:rPr>
        <w:t>。主要包括：本年财政拨款安排</w:t>
      </w:r>
      <w:r>
        <w:rPr>
          <w:rFonts w:ascii="仿宋_GB2312" w:hAnsi="仿宋" w:eastAsia="仿宋_GB2312"/>
          <w:sz w:val="32"/>
          <w:szCs w:val="32"/>
        </w:rPr>
        <w:t xml:space="preserve"> </w:t>
      </w:r>
      <w:r>
        <w:rPr>
          <w:rFonts w:hint="eastAsia" w:ascii="仿宋_GB2312" w:hAnsi="仿宋" w:eastAsia="仿宋_GB2312"/>
          <w:sz w:val="32"/>
          <w:szCs w:val="32"/>
          <w:lang w:val="en-US" w:eastAsia="zh-CN"/>
        </w:rPr>
        <w:t>4895.2</w:t>
      </w:r>
      <w:r>
        <w:rPr>
          <w:rFonts w:hint="eastAsia" w:ascii="仿宋_GB2312" w:hAnsi="仿宋" w:eastAsia="仿宋_GB2312"/>
          <w:sz w:val="32"/>
          <w:szCs w:val="32"/>
        </w:rPr>
        <w:t>万元（其中，一般公共预算拨款安排</w:t>
      </w:r>
      <w:r>
        <w:rPr>
          <w:rFonts w:ascii="仿宋_GB2312" w:hAnsi="仿宋" w:eastAsia="仿宋_GB2312"/>
          <w:sz w:val="32"/>
          <w:szCs w:val="32"/>
        </w:rPr>
        <w:t xml:space="preserve"> </w:t>
      </w:r>
      <w:r>
        <w:rPr>
          <w:rFonts w:hint="eastAsia" w:ascii="仿宋_GB2312" w:hAnsi="仿宋" w:eastAsia="仿宋_GB2312"/>
          <w:sz w:val="32"/>
          <w:szCs w:val="32"/>
          <w:lang w:val="en-US" w:eastAsia="zh-CN"/>
        </w:rPr>
        <w:t>4895.2</w:t>
      </w:r>
      <w:r>
        <w:rPr>
          <w:rFonts w:hint="eastAsia" w:ascii="仿宋_GB2312" w:hAnsi="仿宋" w:eastAsia="仿宋_GB2312"/>
          <w:sz w:val="32"/>
          <w:szCs w:val="32"/>
        </w:rPr>
        <w:t>万元，政府性基金预算拨款安排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万元，国有资本经营预算拨款安排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万元），财政拨款结转结余安排</w:t>
      </w:r>
      <w:r>
        <w:rPr>
          <w:rFonts w:hint="eastAsia" w:ascii="仿宋_GB2312" w:hAnsi="仿宋" w:eastAsia="仿宋_GB2312"/>
          <w:sz w:val="32"/>
          <w:szCs w:val="32"/>
          <w:lang w:val="en-US" w:eastAsia="zh-CN"/>
        </w:rPr>
        <w:t>802.96</w:t>
      </w:r>
      <w:r>
        <w:rPr>
          <w:rFonts w:hint="eastAsia" w:ascii="仿宋_GB2312" w:hAnsi="仿宋" w:eastAsia="仿宋_GB2312"/>
          <w:sz w:val="32"/>
          <w:szCs w:val="32"/>
        </w:rPr>
        <w:t>万元（其中，一般公共预算拨款安排</w:t>
      </w:r>
      <w:r>
        <w:rPr>
          <w:rFonts w:hint="eastAsia" w:ascii="仿宋_GB2312" w:hAnsi="仿宋" w:eastAsia="仿宋_GB2312"/>
          <w:sz w:val="32"/>
          <w:szCs w:val="32"/>
          <w:lang w:val="en-US" w:eastAsia="zh-CN"/>
        </w:rPr>
        <w:t>802.96</w:t>
      </w:r>
      <w:r>
        <w:rPr>
          <w:rFonts w:hint="eastAsia" w:ascii="仿宋_GB2312" w:hAnsi="仿宋" w:eastAsia="仿宋_GB2312"/>
          <w:sz w:val="32"/>
          <w:szCs w:val="32"/>
        </w:rPr>
        <w:t>万元，政府性基金预算拨款安排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万元，国有资本经营预算拨款安排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万元）、财政专户管理资金安排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万元和单位资金安排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w:t>
      </w:r>
    </w:p>
    <w:p>
      <w:pPr>
        <w:pStyle w:val="5"/>
        <w:adjustRightInd w:val="0"/>
        <w:snapToGrid w:val="0"/>
        <w:spacing w:before="0" w:beforeAutospacing="0" w:after="0" w:afterAutospacing="0" w:line="600" w:lineRule="exact"/>
        <w:ind w:firstLine="640" w:firstLineChars="200"/>
        <w:rPr>
          <w:rFonts w:ascii="仿宋_GB2312" w:hAnsi="仿宋" w:eastAsia="仿宋_GB2312"/>
          <w:sz w:val="32"/>
          <w:szCs w:val="32"/>
        </w:rPr>
      </w:pPr>
      <w:r>
        <w:rPr>
          <w:rFonts w:hint="eastAsia" w:ascii="黑体" w:hAnsi="仿宋" w:eastAsia="黑体"/>
          <w:sz w:val="32"/>
          <w:szCs w:val="32"/>
        </w:rPr>
        <w:t>十、关于</w:t>
      </w:r>
      <w:r>
        <w:rPr>
          <w:rFonts w:ascii="黑体" w:hAnsi="仿宋" w:eastAsia="黑体"/>
          <w:sz w:val="32"/>
          <w:szCs w:val="32"/>
        </w:rPr>
        <w:t>2022</w:t>
      </w:r>
      <w:r>
        <w:rPr>
          <w:rFonts w:hint="eastAsia" w:ascii="黑体" w:hAnsi="仿宋" w:eastAsia="黑体"/>
          <w:sz w:val="32"/>
          <w:szCs w:val="32"/>
        </w:rPr>
        <w:t>年政府采购支出表的说明</w:t>
      </w:r>
    </w:p>
    <w:p>
      <w:pPr>
        <w:pStyle w:val="5"/>
        <w:adjustRightInd w:val="0"/>
        <w:snapToGrid w:val="0"/>
        <w:spacing w:before="0" w:beforeAutospacing="0" w:after="0" w:afterAutospacing="0" w:line="600" w:lineRule="exact"/>
        <w:ind w:firstLine="640" w:firstLineChars="200"/>
        <w:outlineLvl w:val="0"/>
        <w:rPr>
          <w:rFonts w:ascii="仿宋_GB2312" w:hAnsi="仿宋" w:eastAsia="仿宋_GB2312"/>
          <w:sz w:val="32"/>
          <w:szCs w:val="32"/>
        </w:rPr>
      </w:pPr>
      <w:r>
        <w:rPr>
          <w:rFonts w:hint="eastAsia" w:ascii="仿宋_GB2312" w:hAnsi="仿宋" w:eastAsia="仿宋_GB2312"/>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年预算安排政府采购支出</w:t>
      </w:r>
      <w:r>
        <w:rPr>
          <w:rFonts w:hint="eastAsia" w:ascii="仿宋_GB2312" w:hAnsi="仿宋" w:eastAsia="仿宋_GB2312"/>
          <w:sz w:val="32"/>
          <w:szCs w:val="32"/>
          <w:lang w:val="en-US" w:eastAsia="zh-CN"/>
        </w:rPr>
        <w:t>35</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21.8</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165.15</w:t>
      </w:r>
      <w:r>
        <w:rPr>
          <w:rFonts w:ascii="仿宋_GB2312" w:hAnsi="仿宋" w:eastAsia="仿宋_GB2312"/>
          <w:sz w:val="32"/>
          <w:szCs w:val="32"/>
        </w:rPr>
        <w:t>%</w:t>
      </w:r>
      <w:r>
        <w:rPr>
          <w:rFonts w:hint="eastAsia" w:ascii="仿宋_GB2312" w:hAnsi="仿宋" w:eastAsia="仿宋_GB2312"/>
          <w:sz w:val="32"/>
          <w:szCs w:val="32"/>
        </w:rPr>
        <w:t>，增长原因主要是</w:t>
      </w:r>
      <w:r>
        <w:rPr>
          <w:rFonts w:hint="eastAsia" w:ascii="仿宋_GB2312" w:hAnsi="仿宋" w:eastAsia="仿宋_GB2312"/>
          <w:sz w:val="32"/>
          <w:szCs w:val="32"/>
          <w:lang w:eastAsia="zh-CN"/>
        </w:rPr>
        <w:t>采购</w:t>
      </w:r>
      <w:r>
        <w:rPr>
          <w:rFonts w:hint="eastAsia" w:ascii="仿宋_GB2312" w:hAnsi="仿宋" w:eastAsia="仿宋_GB2312"/>
          <w:sz w:val="32"/>
          <w:szCs w:val="32"/>
        </w:rPr>
        <w:t>设备及软件</w:t>
      </w:r>
      <w:r>
        <w:rPr>
          <w:rFonts w:hint="eastAsia" w:ascii="仿宋_GB2312" w:hAnsi="仿宋" w:eastAsia="仿宋_GB2312"/>
          <w:sz w:val="32"/>
          <w:szCs w:val="32"/>
          <w:lang w:eastAsia="zh-CN"/>
        </w:rPr>
        <w:t>支出增加</w:t>
      </w:r>
      <w:r>
        <w:rPr>
          <w:rFonts w:hint="eastAsia" w:ascii="仿宋_GB2312" w:hAnsi="仿宋" w:eastAsia="仿宋_GB2312"/>
          <w:sz w:val="32"/>
          <w:szCs w:val="32"/>
        </w:rPr>
        <w:t>。其中，一般公共预算安排</w:t>
      </w:r>
      <w:r>
        <w:rPr>
          <w:rFonts w:hint="eastAsia" w:ascii="仿宋_GB2312" w:hAnsi="仿宋" w:eastAsia="仿宋_GB2312"/>
          <w:sz w:val="32"/>
          <w:szCs w:val="32"/>
          <w:lang w:val="en-US" w:eastAsia="zh-CN"/>
        </w:rPr>
        <w:t>35</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；政府性基金预算安排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0</w:t>
      </w:r>
      <w:r>
        <w:rPr>
          <w:rFonts w:ascii="仿宋_GB2312" w:hAnsi="仿宋" w:eastAsia="仿宋_GB2312"/>
          <w:sz w:val="32"/>
          <w:szCs w:val="32"/>
        </w:rPr>
        <w:t>%</w:t>
      </w:r>
      <w:r>
        <w:rPr>
          <w:rFonts w:hint="eastAsia" w:ascii="仿宋_GB2312" w:hAnsi="仿宋" w:eastAsia="仿宋_GB2312"/>
          <w:sz w:val="32"/>
          <w:szCs w:val="32"/>
        </w:rPr>
        <w:t>；国有资本经营预算安排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0</w:t>
      </w:r>
      <w:r>
        <w:rPr>
          <w:rFonts w:ascii="仿宋_GB2312" w:hAnsi="仿宋" w:eastAsia="仿宋_GB2312"/>
          <w:sz w:val="32"/>
          <w:szCs w:val="32"/>
        </w:rPr>
        <w:t>%</w:t>
      </w:r>
      <w:r>
        <w:rPr>
          <w:rFonts w:hint="eastAsia" w:ascii="仿宋_GB2312" w:hAnsi="仿宋" w:eastAsia="仿宋_GB2312"/>
          <w:sz w:val="32"/>
          <w:szCs w:val="32"/>
        </w:rPr>
        <w:t>；财政专户管理资金安排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0</w:t>
      </w:r>
      <w:r>
        <w:rPr>
          <w:rFonts w:ascii="仿宋_GB2312" w:hAnsi="仿宋" w:eastAsia="仿宋_GB2312"/>
          <w:sz w:val="32"/>
          <w:szCs w:val="32"/>
        </w:rPr>
        <w:t>%</w:t>
      </w:r>
      <w:r>
        <w:rPr>
          <w:rFonts w:hint="eastAsia" w:ascii="仿宋_GB2312" w:hAnsi="仿宋" w:eastAsia="仿宋_GB2312"/>
          <w:sz w:val="32"/>
          <w:szCs w:val="32"/>
        </w:rPr>
        <w:t>；单位资金安排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0</w:t>
      </w:r>
      <w:r>
        <w:rPr>
          <w:rFonts w:ascii="仿宋_GB2312" w:hAnsi="仿宋" w:eastAsia="仿宋_GB2312"/>
          <w:sz w:val="32"/>
          <w:szCs w:val="32"/>
        </w:rPr>
        <w:t>%</w:t>
      </w:r>
      <w:r>
        <w:rPr>
          <w:rFonts w:hint="eastAsia" w:ascii="仿宋_GB2312" w:hAnsi="仿宋" w:eastAsia="仿宋_GB2312"/>
          <w:sz w:val="32"/>
          <w:szCs w:val="32"/>
        </w:rPr>
        <w:t>。</w:t>
      </w:r>
    </w:p>
    <w:p>
      <w:pPr>
        <w:pStyle w:val="5"/>
        <w:adjustRightInd w:val="0"/>
        <w:snapToGrid w:val="0"/>
        <w:spacing w:before="0" w:beforeAutospacing="0" w:after="0" w:afterAutospacing="0" w:line="600" w:lineRule="exact"/>
        <w:ind w:firstLine="640" w:firstLineChars="200"/>
        <w:rPr>
          <w:rFonts w:ascii="黑体" w:hAnsi="仿宋" w:eastAsia="黑体"/>
          <w:sz w:val="32"/>
          <w:szCs w:val="32"/>
        </w:rPr>
      </w:pPr>
      <w:r>
        <w:rPr>
          <w:rFonts w:hint="eastAsia" w:ascii="黑体" w:hAnsi="仿宋" w:eastAsia="黑体"/>
          <w:sz w:val="32"/>
          <w:szCs w:val="32"/>
        </w:rPr>
        <w:t>十一、关于</w:t>
      </w:r>
      <w:r>
        <w:rPr>
          <w:rFonts w:ascii="黑体" w:hAnsi="仿宋" w:eastAsia="黑体"/>
          <w:sz w:val="32"/>
          <w:szCs w:val="32"/>
        </w:rPr>
        <w:t>2022</w:t>
      </w:r>
      <w:r>
        <w:rPr>
          <w:rFonts w:hint="eastAsia" w:ascii="黑体" w:hAnsi="仿宋" w:eastAsia="黑体"/>
          <w:sz w:val="32"/>
          <w:szCs w:val="32"/>
        </w:rPr>
        <w:t>年政府购买服务支出表的说明</w:t>
      </w:r>
    </w:p>
    <w:p>
      <w:pPr>
        <w:pStyle w:val="5"/>
        <w:adjustRightInd w:val="0"/>
        <w:snapToGrid w:val="0"/>
        <w:spacing w:before="0" w:beforeAutospacing="0" w:after="0" w:afterAutospacing="0" w:line="600" w:lineRule="exact"/>
        <w:ind w:firstLine="640" w:firstLineChars="200"/>
        <w:outlineLvl w:val="0"/>
        <w:rPr>
          <w:rFonts w:ascii="仿宋_GB2312" w:hAnsi="仿宋" w:eastAsia="仿宋_GB2312"/>
          <w:sz w:val="32"/>
          <w:szCs w:val="32"/>
        </w:rPr>
      </w:pPr>
      <w:r>
        <w:rPr>
          <w:rFonts w:hint="eastAsia" w:ascii="仿宋_GB2312" w:hAnsi="仿宋" w:eastAsia="仿宋_GB2312"/>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年没有安排政府购买服务支出。</w:t>
      </w:r>
    </w:p>
    <w:p>
      <w:pPr>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十二、其他重要事项情况说明</w:t>
      </w:r>
    </w:p>
    <w:p>
      <w:pPr>
        <w:adjustRightInd w:val="0"/>
        <w:snapToGrid w:val="0"/>
        <w:spacing w:line="60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（一）项目及绩效目标情况。</w:t>
      </w:r>
    </w:p>
    <w:p>
      <w:pPr>
        <w:adjustRightInd w:val="0"/>
        <w:snapToGrid w:val="0"/>
        <w:spacing w:line="600" w:lineRule="exact"/>
        <w:ind w:firstLine="803" w:firstLineChars="250"/>
        <w:rPr>
          <w:rFonts w:ascii="仿宋_GB2312" w:hAnsi="楷体" w:eastAsia="仿宋_GB2312"/>
          <w:b/>
          <w:sz w:val="32"/>
          <w:szCs w:val="32"/>
        </w:rPr>
      </w:pPr>
      <w:r>
        <w:rPr>
          <w:rFonts w:ascii="仿宋_GB2312" w:hAnsi="楷体" w:eastAsia="仿宋_GB2312"/>
          <w:b/>
          <w:sz w:val="32"/>
          <w:szCs w:val="32"/>
        </w:rPr>
        <w:t>1.</w:t>
      </w:r>
      <w:r>
        <w:rPr>
          <w:rFonts w:hint="eastAsia" w:ascii="仿宋_GB2312" w:hAnsi="楷体" w:eastAsia="仿宋_GB2312"/>
          <w:b/>
          <w:sz w:val="32"/>
          <w:szCs w:val="32"/>
        </w:rPr>
        <w:t>“医疗救助市级配套资金（民生工程)”项目。</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rPr>
        <w:t>（</w:t>
      </w:r>
      <w:r>
        <w:rPr>
          <w:rFonts w:ascii="仿宋_GB2312" w:hAnsi="楷体" w:eastAsia="仿宋_GB2312"/>
          <w:sz w:val="32"/>
          <w:szCs w:val="32"/>
        </w:rPr>
        <w:t>1</w:t>
      </w:r>
      <w:r>
        <w:rPr>
          <w:rFonts w:hint="eastAsia" w:ascii="仿宋_GB2312" w:hAnsi="楷体" w:eastAsia="仿宋_GB2312"/>
          <w:sz w:val="32"/>
          <w:szCs w:val="32"/>
        </w:rPr>
        <w:t>）项目概述</w:t>
      </w:r>
      <w:r>
        <w:rPr>
          <w:rFonts w:hint="eastAsia" w:ascii="仿宋_GB2312" w:hAnsi="楷体" w:eastAsia="仿宋_GB2312"/>
          <w:sz w:val="32"/>
          <w:szCs w:val="32"/>
          <w:lang w:eastAsia="zh-CN"/>
        </w:rPr>
        <w:t>：</w:t>
      </w:r>
      <w:r>
        <w:rPr>
          <w:rFonts w:hint="eastAsia" w:ascii="仿宋_GB2312" w:hAnsi="楷体" w:eastAsia="仿宋_GB2312"/>
          <w:sz w:val="32"/>
          <w:szCs w:val="32"/>
        </w:rPr>
        <w:t>医疗救助市级配套资金</w:t>
      </w:r>
      <w:r>
        <w:rPr>
          <w:rFonts w:hint="eastAsia" w:ascii="仿宋_GB2312" w:hAnsi="楷体" w:eastAsia="仿宋_GB2312"/>
          <w:sz w:val="32"/>
          <w:szCs w:val="32"/>
          <w:lang w:eastAsia="zh-CN"/>
        </w:rPr>
        <w:t>。</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rPr>
        <w:t>（</w:t>
      </w:r>
      <w:r>
        <w:rPr>
          <w:rFonts w:ascii="仿宋_GB2312" w:hAnsi="楷体" w:eastAsia="仿宋_GB2312"/>
          <w:sz w:val="32"/>
          <w:szCs w:val="32"/>
        </w:rPr>
        <w:t>2</w:t>
      </w:r>
      <w:r>
        <w:rPr>
          <w:rFonts w:hint="eastAsia" w:ascii="仿宋_GB2312" w:hAnsi="楷体" w:eastAsia="仿宋_GB2312"/>
          <w:sz w:val="32"/>
          <w:szCs w:val="32"/>
        </w:rPr>
        <w:t>）立项依据</w:t>
      </w:r>
      <w:r>
        <w:rPr>
          <w:rFonts w:hint="eastAsia" w:ascii="仿宋_GB2312" w:hAnsi="楷体" w:eastAsia="仿宋_GB2312"/>
          <w:sz w:val="32"/>
          <w:szCs w:val="32"/>
          <w:lang w:eastAsia="zh-CN"/>
        </w:rPr>
        <w:t>：</w:t>
      </w:r>
      <w:r>
        <w:rPr>
          <w:rFonts w:hint="eastAsia" w:ascii="仿宋_GB2312" w:hAnsi="楷体" w:eastAsia="仿宋_GB2312"/>
          <w:sz w:val="32"/>
          <w:szCs w:val="32"/>
        </w:rPr>
        <w:t>根据《安徽省人民政府关于2019年实施33项民生工程的通知》（皖政〔2019〕14号）文件</w:t>
      </w:r>
      <w:r>
        <w:rPr>
          <w:rFonts w:hint="eastAsia" w:ascii="仿宋_GB2312" w:hAnsi="楷体" w:eastAsia="仿宋_GB2312"/>
          <w:sz w:val="32"/>
          <w:szCs w:val="32"/>
          <w:lang w:eastAsia="zh-CN"/>
        </w:rPr>
        <w:t>。</w:t>
      </w:r>
    </w:p>
    <w:p>
      <w:pPr>
        <w:adjustRightInd w:val="0"/>
        <w:snapToGrid w:val="0"/>
        <w:spacing w:line="600" w:lineRule="exact"/>
        <w:ind w:firstLine="640" w:firstLineChars="200"/>
        <w:rPr>
          <w:rFonts w:hint="eastAsia" w:ascii="仿宋_GB2312" w:hAnsi="仿宋" w:eastAsia="仿宋_GB2312"/>
          <w:sz w:val="32"/>
          <w:szCs w:val="32"/>
          <w:lang w:eastAsia="zh-CN"/>
        </w:rPr>
      </w:pPr>
      <w:r>
        <w:rPr>
          <w:rFonts w:hint="eastAsia" w:ascii="仿宋_GB2312" w:hAnsi="楷体" w:eastAsia="仿宋_GB2312"/>
          <w:sz w:val="32"/>
          <w:szCs w:val="32"/>
        </w:rPr>
        <w:t>（</w:t>
      </w:r>
      <w:r>
        <w:rPr>
          <w:rFonts w:ascii="仿宋_GB2312" w:hAnsi="楷体" w:eastAsia="仿宋_GB2312"/>
          <w:sz w:val="32"/>
          <w:szCs w:val="32"/>
        </w:rPr>
        <w:t>3</w:t>
      </w:r>
      <w:r>
        <w:rPr>
          <w:rFonts w:hint="eastAsia" w:ascii="仿宋_GB2312" w:hAnsi="楷体" w:eastAsia="仿宋_GB2312"/>
          <w:sz w:val="32"/>
          <w:szCs w:val="32"/>
        </w:rPr>
        <w:t>）实施主体</w:t>
      </w:r>
      <w:r>
        <w:rPr>
          <w:rFonts w:hint="eastAsia" w:ascii="仿宋_GB2312" w:hAnsi="楷体" w:eastAsia="仿宋_GB2312"/>
          <w:sz w:val="32"/>
          <w:szCs w:val="32"/>
          <w:lang w:eastAsia="zh-CN"/>
        </w:rPr>
        <w:t>：</w:t>
      </w:r>
      <w:r>
        <w:rPr>
          <w:rFonts w:hint="eastAsia" w:ascii="仿宋_GB2312" w:hAnsi="仿宋" w:eastAsia="仿宋_GB2312"/>
          <w:sz w:val="32"/>
          <w:szCs w:val="32"/>
          <w:lang w:eastAsia="zh-CN"/>
        </w:rPr>
        <w:t>淮南市医疗保障局</w:t>
      </w:r>
    </w:p>
    <w:p>
      <w:pPr>
        <w:adjustRightInd w:val="0"/>
        <w:snapToGrid w:val="0"/>
        <w:spacing w:line="600" w:lineRule="exact"/>
        <w:ind w:firstLine="640" w:firstLineChars="200"/>
        <w:rPr>
          <w:rFonts w:hint="eastAsia" w:ascii="仿宋_GB2312" w:hAnsi="仿宋" w:eastAsia="仿宋_GB2312"/>
          <w:sz w:val="32"/>
          <w:szCs w:val="32"/>
          <w:lang w:val="en-US" w:eastAsia="zh-CN"/>
        </w:rPr>
      </w:pPr>
      <w:r>
        <w:rPr>
          <w:rFonts w:hint="eastAsia" w:ascii="仿宋_GB2312" w:hAnsi="楷体" w:eastAsia="仿宋_GB2312"/>
          <w:sz w:val="32"/>
          <w:szCs w:val="32"/>
        </w:rPr>
        <w:t>（</w:t>
      </w:r>
      <w:r>
        <w:rPr>
          <w:rFonts w:ascii="仿宋_GB2312" w:hAnsi="楷体" w:eastAsia="仿宋_GB2312"/>
          <w:sz w:val="32"/>
          <w:szCs w:val="32"/>
        </w:rPr>
        <w:t>4</w:t>
      </w:r>
      <w:r>
        <w:rPr>
          <w:rFonts w:hint="eastAsia" w:ascii="仿宋_GB2312" w:hAnsi="楷体" w:eastAsia="仿宋_GB2312"/>
          <w:sz w:val="32"/>
          <w:szCs w:val="32"/>
        </w:rPr>
        <w:t>）起止时间</w:t>
      </w:r>
      <w:r>
        <w:rPr>
          <w:rFonts w:hint="eastAsia" w:ascii="仿宋_GB2312" w:hAnsi="楷体" w:eastAsia="仿宋_GB2312"/>
          <w:sz w:val="32"/>
          <w:szCs w:val="32"/>
          <w:lang w:eastAsia="zh-CN"/>
        </w:rPr>
        <w:t>：</w:t>
      </w:r>
      <w:r>
        <w:rPr>
          <w:rFonts w:hint="eastAsia" w:ascii="仿宋_GB2312" w:hAnsi="仿宋" w:eastAsia="仿宋_GB2312"/>
          <w:sz w:val="32"/>
          <w:szCs w:val="32"/>
          <w:lang w:val="en-US" w:eastAsia="zh-CN"/>
        </w:rPr>
        <w:t>2022年全年。</w:t>
      </w:r>
    </w:p>
    <w:p>
      <w:pPr>
        <w:adjustRightInd w:val="0"/>
        <w:snapToGrid w:val="0"/>
        <w:spacing w:line="600" w:lineRule="exact"/>
        <w:ind w:firstLine="640" w:firstLineChars="200"/>
        <w:rPr>
          <w:rFonts w:hint="eastAsia" w:ascii="仿宋_GB2312" w:hAnsi="仿宋" w:eastAsia="仿宋_GB2312"/>
          <w:sz w:val="32"/>
          <w:szCs w:val="32"/>
          <w:lang w:val="en-US" w:eastAsia="zh-CN"/>
        </w:rPr>
      </w:pPr>
      <w:r>
        <w:rPr>
          <w:rFonts w:hint="eastAsia" w:ascii="仿宋_GB2312" w:hAnsi="楷体" w:eastAsia="仿宋_GB2312"/>
          <w:sz w:val="32"/>
          <w:szCs w:val="32"/>
        </w:rPr>
        <w:t>（</w:t>
      </w:r>
      <w:r>
        <w:rPr>
          <w:rFonts w:ascii="仿宋_GB2312" w:hAnsi="楷体" w:eastAsia="仿宋_GB2312"/>
          <w:sz w:val="32"/>
          <w:szCs w:val="32"/>
        </w:rPr>
        <w:t>5</w:t>
      </w:r>
      <w:r>
        <w:rPr>
          <w:rFonts w:hint="eastAsia" w:ascii="仿宋_GB2312" w:hAnsi="楷体" w:eastAsia="仿宋_GB2312"/>
          <w:sz w:val="32"/>
          <w:szCs w:val="32"/>
        </w:rPr>
        <w:t>）项目内容</w:t>
      </w:r>
      <w:r>
        <w:rPr>
          <w:rFonts w:hint="eastAsia" w:ascii="仿宋_GB2312" w:hAnsi="楷体" w:eastAsia="仿宋_GB2312"/>
          <w:sz w:val="32"/>
          <w:szCs w:val="32"/>
          <w:lang w:eastAsia="zh-CN"/>
        </w:rPr>
        <w:t>：</w:t>
      </w:r>
      <w:r>
        <w:rPr>
          <w:rFonts w:hint="eastAsia" w:ascii="仿宋_GB2312" w:hAnsi="仿宋" w:eastAsia="仿宋_GB2312"/>
          <w:sz w:val="32"/>
          <w:szCs w:val="32"/>
        </w:rPr>
        <w:t xml:space="preserve">坚持以人为本，着眼于促进社会公平，完善基本医疗保障体系。资助困难群众参保全覆盖，资助困难群众参保人数22.3万人，其中资助建卡贫困人口参保人数16.7万人。住院救助和门诊救助应救尽救，以保障困难群众基本医疗权益为目标，最大限度减轻困难群众医疗支出负担。                                   </w:t>
      </w:r>
      <w:r>
        <w:rPr>
          <w:rFonts w:hint="eastAsia" w:ascii="仿宋_GB2312" w:hAnsi="仿宋" w:eastAsia="仿宋_GB2312"/>
          <w:sz w:val="32"/>
          <w:szCs w:val="32"/>
          <w:lang w:val="en-US" w:eastAsia="zh-CN"/>
        </w:rPr>
        <w:t xml:space="preserve">     </w:t>
      </w:r>
    </w:p>
    <w:p>
      <w:pPr>
        <w:adjustRightInd w:val="0"/>
        <w:snapToGrid w:val="0"/>
        <w:spacing w:line="600" w:lineRule="exact"/>
        <w:ind w:firstLine="640" w:firstLineChars="200"/>
        <w:rPr>
          <w:rFonts w:hint="default" w:ascii="仿宋_GB2312" w:hAnsi="仿宋" w:eastAsia="仿宋_GB2312"/>
          <w:sz w:val="32"/>
          <w:szCs w:val="32"/>
          <w:lang w:val="en-US" w:eastAsia="zh-CN"/>
        </w:rPr>
      </w:pPr>
      <w:r>
        <w:rPr>
          <w:rFonts w:hint="eastAsia" w:ascii="仿宋_GB2312" w:hAnsi="楷体" w:eastAsia="仿宋_GB2312"/>
          <w:sz w:val="32"/>
          <w:szCs w:val="32"/>
        </w:rPr>
        <w:t>（</w:t>
      </w:r>
      <w:r>
        <w:rPr>
          <w:rFonts w:ascii="仿宋_GB2312" w:hAnsi="楷体" w:eastAsia="仿宋_GB2312"/>
          <w:sz w:val="32"/>
          <w:szCs w:val="32"/>
        </w:rPr>
        <w:t>6</w:t>
      </w:r>
      <w:r>
        <w:rPr>
          <w:rFonts w:hint="eastAsia" w:ascii="仿宋_GB2312" w:hAnsi="楷体" w:eastAsia="仿宋_GB2312"/>
          <w:sz w:val="32"/>
          <w:szCs w:val="32"/>
        </w:rPr>
        <w:t>）年度预算安排</w:t>
      </w:r>
      <w:r>
        <w:rPr>
          <w:rFonts w:hint="eastAsia" w:ascii="仿宋_GB2312" w:hAnsi="楷体" w:eastAsia="仿宋_GB2312"/>
          <w:sz w:val="32"/>
          <w:szCs w:val="32"/>
          <w:lang w:eastAsia="zh-CN"/>
        </w:rPr>
        <w:t>：</w:t>
      </w:r>
      <w:r>
        <w:rPr>
          <w:rFonts w:hint="eastAsia" w:ascii="仿宋_GB2312" w:hAnsi="仿宋" w:eastAsia="仿宋_GB2312"/>
          <w:sz w:val="32"/>
          <w:szCs w:val="32"/>
          <w:lang w:val="en-US" w:eastAsia="zh-CN"/>
        </w:rPr>
        <w:t>2800万元。</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w:t>
      </w:r>
      <w:r>
        <w:rPr>
          <w:rFonts w:ascii="仿宋_GB2312" w:hAnsi="楷体" w:eastAsia="仿宋_GB2312"/>
          <w:sz w:val="32"/>
          <w:szCs w:val="32"/>
        </w:rPr>
        <w:t>7</w:t>
      </w:r>
      <w:r>
        <w:rPr>
          <w:rFonts w:hint="eastAsia" w:ascii="仿宋_GB2312" w:hAnsi="楷体" w:eastAsia="仿宋_GB2312"/>
          <w:sz w:val="32"/>
          <w:szCs w:val="32"/>
        </w:rPr>
        <w:t>）绩效目标</w:t>
      </w:r>
      <w:r>
        <w:rPr>
          <w:rFonts w:hint="eastAsia" w:ascii="仿宋_GB2312" w:hAnsi="楷体" w:eastAsia="仿宋_GB2312"/>
          <w:sz w:val="32"/>
          <w:szCs w:val="32"/>
          <w:lang w:eastAsia="zh-CN"/>
        </w:rPr>
        <w:t>：</w:t>
      </w:r>
    </w:p>
    <w:p>
      <w:pPr>
        <w:adjustRightInd w:val="0"/>
        <w:snapToGrid w:val="0"/>
        <w:spacing w:line="600" w:lineRule="exact"/>
        <w:ind w:firstLine="640" w:firstLineChars="200"/>
        <w:rPr>
          <w:rFonts w:ascii="仿宋_GB2312" w:hAnsi="楷体" w:eastAsia="仿宋_GB2312"/>
          <w:sz w:val="32"/>
          <w:szCs w:val="32"/>
        </w:rPr>
      </w:pPr>
    </w:p>
    <w:p>
      <w:pPr>
        <w:adjustRightInd w:val="0"/>
        <w:snapToGrid w:val="0"/>
        <w:spacing w:line="600" w:lineRule="exact"/>
        <w:ind w:firstLine="640" w:firstLineChars="200"/>
        <w:rPr>
          <w:rFonts w:ascii="仿宋_GB2312" w:hAnsi="楷体" w:eastAsia="仿宋_GB2312"/>
          <w:sz w:val="32"/>
          <w:szCs w:val="32"/>
        </w:rPr>
      </w:pPr>
    </w:p>
    <w:tbl>
      <w:tblPr>
        <w:tblStyle w:val="6"/>
        <w:tblW w:w="9020" w:type="dxa"/>
        <w:tblInd w:w="93" w:type="dxa"/>
        <w:tblLayout w:type="fixed"/>
        <w:tblCellMar>
          <w:top w:w="0" w:type="dxa"/>
          <w:left w:w="108" w:type="dxa"/>
          <w:bottom w:w="0" w:type="dxa"/>
          <w:right w:w="108" w:type="dxa"/>
        </w:tblCellMar>
      </w:tblPr>
      <w:tblGrid>
        <w:gridCol w:w="416"/>
        <w:gridCol w:w="820"/>
        <w:gridCol w:w="940"/>
        <w:gridCol w:w="876"/>
        <w:gridCol w:w="600"/>
        <w:gridCol w:w="432"/>
        <w:gridCol w:w="504"/>
        <w:gridCol w:w="648"/>
        <w:gridCol w:w="3420"/>
        <w:gridCol w:w="364"/>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vAlign w:val="center"/>
          </w:tcPr>
          <w:p>
            <w:pPr>
              <w:rPr>
                <w:b/>
                <w:bCs/>
                <w:sz w:val="32"/>
                <w:szCs w:val="32"/>
              </w:rPr>
            </w:pPr>
          </w:p>
          <w:p>
            <w:pPr>
              <w:jc w:val="center"/>
              <w:rPr>
                <w:rFonts w:asci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vAlign w:val="center"/>
          </w:tcPr>
          <w:p>
            <w:pPr>
              <w:jc w:val="center"/>
              <w:rPr>
                <w:rFonts w:ascii="宋体" w:cs="宋体"/>
                <w:sz w:val="20"/>
                <w:szCs w:val="20"/>
              </w:rPr>
            </w:pPr>
            <w:r>
              <w:rPr>
                <w:rFonts w:hint="eastAsia"/>
                <w:sz w:val="20"/>
                <w:szCs w:val="20"/>
              </w:rPr>
              <w:t>（</w:t>
            </w:r>
            <w:r>
              <w:rPr>
                <w:sz w:val="20"/>
                <w:szCs w:val="20"/>
              </w:rPr>
              <w:t xml:space="preserve">2022 </w:t>
            </w:r>
            <w:r>
              <w:rPr>
                <w:rFonts w:hint="eastAsia"/>
                <w:sz w:val="20"/>
                <w:szCs w:val="20"/>
              </w:rPr>
              <w:t>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vAlign w:val="center"/>
          </w:tcPr>
          <w:p>
            <w:pPr>
              <w:jc w:val="center"/>
              <w:rPr>
                <w:rFonts w:ascii="宋体" w:cs="宋体"/>
                <w:color w:val="000000"/>
                <w:sz w:val="20"/>
                <w:szCs w:val="20"/>
              </w:rPr>
            </w:pPr>
            <w:r>
              <w:rPr>
                <w:rFonts w:hint="eastAsia"/>
                <w:color w:val="000000"/>
                <w:sz w:val="20"/>
                <w:szCs w:val="20"/>
              </w:rPr>
              <w:t>医疗救助市级配套资金（民生工程)　</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lang w:eastAsia="zh-CN"/>
              </w:rPr>
              <w:t>淮南市医疗保障局</w:t>
            </w:r>
            <w:r>
              <w:rPr>
                <w:rFonts w:hint="eastAsia"/>
                <w:color w:val="000000"/>
                <w:sz w:val="20"/>
                <w:szCs w:val="20"/>
              </w:rPr>
              <w:t>　</w:t>
            </w:r>
          </w:p>
        </w:tc>
      </w:tr>
      <w:tr>
        <w:tblPrEx>
          <w:tblCellMar>
            <w:top w:w="0" w:type="dxa"/>
            <w:left w:w="108" w:type="dxa"/>
            <w:bottom w:w="0" w:type="dxa"/>
            <w:right w:w="108" w:type="dxa"/>
          </w:tblCellMar>
        </w:tblPrEx>
        <w:trPr>
          <w:trHeight w:val="260" w:hRule="atLeast"/>
        </w:trPr>
        <w:tc>
          <w:tcPr>
            <w:tcW w:w="12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lang w:eastAsia="zh-CN"/>
              </w:rPr>
              <w:t>延续性项目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vAlign w:val="center"/>
          </w:tcPr>
          <w:p>
            <w:pPr>
              <w:jc w:val="center"/>
              <w:rPr>
                <w:rFonts w:ascii="宋体" w:cs="宋体"/>
                <w:sz w:val="20"/>
                <w:szCs w:val="20"/>
              </w:rPr>
            </w:pPr>
            <w:r>
              <w:rPr>
                <w:rFonts w:hint="eastAsia"/>
                <w:sz w:val="20"/>
                <w:szCs w:val="20"/>
              </w:rPr>
              <w:t>项目资金</w:t>
            </w:r>
            <w:r>
              <w:rPr>
                <w:sz w:val="20"/>
                <w:szCs w:val="20"/>
              </w:rPr>
              <w:br w:type="textWrapping"/>
            </w:r>
            <w:r>
              <w:rPr>
                <w:rFonts w:hint="eastAsia"/>
                <w:sz w:val="20"/>
                <w:szCs w:val="20"/>
              </w:rPr>
              <w:t>（万元）</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中期资金总额：</w:t>
            </w:r>
          </w:p>
        </w:tc>
        <w:tc>
          <w:tcPr>
            <w:tcW w:w="1032" w:type="dxa"/>
            <w:gridSpan w:val="2"/>
            <w:tcBorders>
              <w:top w:val="single" w:color="auto" w:sz="4" w:space="0"/>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1152" w:type="dxa"/>
            <w:gridSpan w:val="2"/>
            <w:tcBorders>
              <w:top w:val="single" w:color="auto" w:sz="4" w:space="0"/>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年度资金总额：</w:t>
            </w:r>
          </w:p>
        </w:tc>
        <w:tc>
          <w:tcPr>
            <w:tcW w:w="3784" w:type="dxa"/>
            <w:gridSpan w:val="2"/>
            <w:tcBorders>
              <w:top w:val="single" w:color="auto" w:sz="4" w:space="0"/>
              <w:left w:val="nil"/>
              <w:bottom w:val="single" w:color="auto" w:sz="4" w:space="0"/>
              <w:right w:val="single" w:color="000000" w:sz="4" w:space="0"/>
            </w:tcBorders>
            <w:vAlign w:val="center"/>
          </w:tcPr>
          <w:p>
            <w:pPr>
              <w:jc w:val="center"/>
              <w:rPr>
                <w:rFonts w:ascii="宋体" w:cs="宋体"/>
                <w:sz w:val="20"/>
                <w:szCs w:val="20"/>
              </w:rPr>
            </w:pPr>
            <w:r>
              <w:rPr>
                <w:rFonts w:hint="eastAsia"/>
                <w:sz w:val="20"/>
                <w:szCs w:val="20"/>
                <w:lang w:val="en-US" w:eastAsia="zh-CN"/>
              </w:rPr>
              <w:t>2800万元</w:t>
            </w:r>
            <w:r>
              <w:rPr>
                <w:rFonts w:hint="eastAsia"/>
                <w:sz w:val="20"/>
                <w:szCs w:val="20"/>
              </w:rPr>
              <w:t>　</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vAlign w:val="center"/>
          </w:tcPr>
          <w:p>
            <w:pPr>
              <w:rPr>
                <w:rFonts w:ascii="宋体" w:cs="宋体"/>
                <w:sz w:val="20"/>
                <w:szCs w:val="20"/>
              </w:rPr>
            </w:pP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其中：财政拨款</w:t>
            </w:r>
          </w:p>
        </w:tc>
        <w:tc>
          <w:tcPr>
            <w:tcW w:w="1032" w:type="dxa"/>
            <w:gridSpan w:val="2"/>
            <w:tcBorders>
              <w:top w:val="single" w:color="auto" w:sz="4" w:space="0"/>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1152" w:type="dxa"/>
            <w:gridSpan w:val="2"/>
            <w:tcBorders>
              <w:top w:val="single" w:color="auto" w:sz="4" w:space="0"/>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其中：财政拨款</w:t>
            </w:r>
          </w:p>
        </w:tc>
        <w:tc>
          <w:tcPr>
            <w:tcW w:w="3784" w:type="dxa"/>
            <w:gridSpan w:val="2"/>
            <w:tcBorders>
              <w:top w:val="single" w:color="auto" w:sz="4" w:space="0"/>
              <w:left w:val="nil"/>
              <w:bottom w:val="single" w:color="auto" w:sz="4" w:space="0"/>
              <w:right w:val="single" w:color="000000" w:sz="4" w:space="0"/>
            </w:tcBorders>
            <w:vAlign w:val="center"/>
          </w:tcPr>
          <w:p>
            <w:pPr>
              <w:jc w:val="center"/>
              <w:rPr>
                <w:rFonts w:ascii="宋体" w:hAnsi="Calibri" w:eastAsia="宋体" w:cs="宋体"/>
                <w:kern w:val="2"/>
                <w:sz w:val="20"/>
                <w:szCs w:val="20"/>
                <w:lang w:val="en-US" w:eastAsia="zh-CN" w:bidi="ar-SA"/>
              </w:rPr>
            </w:pPr>
            <w:r>
              <w:rPr>
                <w:rFonts w:hint="eastAsia"/>
                <w:sz w:val="20"/>
                <w:szCs w:val="20"/>
                <w:lang w:val="en-US" w:eastAsia="zh-CN"/>
              </w:rPr>
              <w:t>2800万元</w:t>
            </w:r>
            <w:r>
              <w:rPr>
                <w:rFonts w:hint="eastAsia"/>
                <w:sz w:val="20"/>
                <w:szCs w:val="20"/>
              </w:rPr>
              <w:t>　</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vAlign w:val="center"/>
          </w:tcPr>
          <w:p>
            <w:pPr>
              <w:rPr>
                <w:rFonts w:ascii="宋体" w:cs="宋体"/>
                <w:sz w:val="20"/>
                <w:szCs w:val="20"/>
              </w:rPr>
            </w:pP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其他资金</w:t>
            </w:r>
          </w:p>
        </w:tc>
        <w:tc>
          <w:tcPr>
            <w:tcW w:w="1032" w:type="dxa"/>
            <w:gridSpan w:val="2"/>
            <w:tcBorders>
              <w:top w:val="single" w:color="auto" w:sz="4" w:space="0"/>
              <w:left w:val="nil"/>
              <w:bottom w:val="single" w:color="auto" w:sz="4" w:space="0"/>
              <w:right w:val="single" w:color="000000" w:sz="4" w:space="0"/>
            </w:tcBorders>
            <w:vAlign w:val="center"/>
          </w:tcPr>
          <w:p>
            <w:pPr>
              <w:jc w:val="center"/>
              <w:rPr>
                <w:rFonts w:ascii="宋体" w:cs="宋体"/>
                <w:sz w:val="20"/>
                <w:szCs w:val="20"/>
              </w:rPr>
            </w:pPr>
            <w:r>
              <w:rPr>
                <w:rFonts w:hint="eastAsia"/>
                <w:sz w:val="20"/>
                <w:szCs w:val="20"/>
              </w:rPr>
              <w:t>　</w:t>
            </w:r>
          </w:p>
        </w:tc>
        <w:tc>
          <w:tcPr>
            <w:tcW w:w="1152" w:type="dxa"/>
            <w:gridSpan w:val="2"/>
            <w:tcBorders>
              <w:top w:val="single" w:color="auto" w:sz="4" w:space="0"/>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其他资金</w:t>
            </w:r>
          </w:p>
        </w:tc>
        <w:tc>
          <w:tcPr>
            <w:tcW w:w="3784" w:type="dxa"/>
            <w:gridSpan w:val="2"/>
            <w:tcBorders>
              <w:top w:val="single" w:color="auto" w:sz="4" w:space="0"/>
              <w:left w:val="nil"/>
              <w:bottom w:val="single" w:color="auto" w:sz="4" w:space="0"/>
              <w:right w:val="single" w:color="000000" w:sz="4" w:space="0"/>
            </w:tcBorders>
            <w:vAlign w:val="center"/>
          </w:tcPr>
          <w:p>
            <w:pPr>
              <w:jc w:val="cente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vAlign w:val="center"/>
          </w:tcPr>
          <w:p>
            <w:pPr>
              <w:jc w:val="center"/>
              <w:rPr>
                <w:rFonts w:ascii="宋体" w:cs="宋体"/>
                <w:sz w:val="20"/>
                <w:szCs w:val="20"/>
              </w:rPr>
            </w:pPr>
            <w:r>
              <w:rPr>
                <w:rFonts w:hint="eastAsia"/>
                <w:sz w:val="20"/>
                <w:szCs w:val="20"/>
              </w:rPr>
              <w:t>总</w:t>
            </w:r>
            <w:r>
              <w:rPr>
                <w:sz w:val="20"/>
                <w:szCs w:val="20"/>
              </w:rPr>
              <w:br w:type="textWrapping"/>
            </w:r>
            <w:r>
              <w:rPr>
                <w:rFonts w:hint="eastAsia"/>
                <w:sz w:val="20"/>
                <w:szCs w:val="20"/>
              </w:rPr>
              <w:t>体</w:t>
            </w:r>
            <w:r>
              <w:rPr>
                <w:sz w:val="20"/>
                <w:szCs w:val="20"/>
              </w:rPr>
              <w:br w:type="textWrapping"/>
            </w:r>
            <w:r>
              <w:rPr>
                <w:rFonts w:hint="eastAsia"/>
                <w:sz w:val="20"/>
                <w:szCs w:val="20"/>
              </w:rPr>
              <w:t>目</w:t>
            </w:r>
            <w:r>
              <w:rPr>
                <w:sz w:val="20"/>
                <w:szCs w:val="20"/>
              </w:rPr>
              <w:br w:type="textWrapping"/>
            </w:r>
            <w:r>
              <w:rPr>
                <w:rFonts w:hint="eastAsia"/>
                <w:sz w:val="20"/>
                <w:szCs w:val="20"/>
              </w:rPr>
              <w:t>标</w:t>
            </w:r>
          </w:p>
        </w:tc>
        <w:tc>
          <w:tcPr>
            <w:tcW w:w="3668" w:type="dxa"/>
            <w:gridSpan w:val="5"/>
            <w:tcBorders>
              <w:top w:val="single" w:color="auto" w:sz="4" w:space="0"/>
              <w:left w:val="nil"/>
              <w:bottom w:val="single" w:color="auto" w:sz="4" w:space="0"/>
              <w:right w:val="nil"/>
            </w:tcBorders>
            <w:vAlign w:val="center"/>
          </w:tcPr>
          <w:p>
            <w:pPr>
              <w:jc w:val="center"/>
              <w:rPr>
                <w:rFonts w:ascii="宋体" w:cs="宋体"/>
                <w:sz w:val="20"/>
                <w:szCs w:val="20"/>
              </w:rPr>
            </w:pPr>
            <w:r>
              <w:rPr>
                <w:rFonts w:hint="eastAsia"/>
                <w:sz w:val="20"/>
                <w:szCs w:val="20"/>
              </w:rPr>
              <w:t>中期目标</w:t>
            </w:r>
          </w:p>
        </w:tc>
        <w:tc>
          <w:tcPr>
            <w:tcW w:w="4936" w:type="dxa"/>
            <w:gridSpan w:val="4"/>
            <w:tcBorders>
              <w:top w:val="single" w:color="auto" w:sz="4" w:space="0"/>
              <w:left w:val="single" w:color="auto" w:sz="4" w:space="0"/>
              <w:bottom w:val="single" w:color="auto" w:sz="4" w:space="0"/>
              <w:right w:val="single" w:color="000000" w:sz="4" w:space="0"/>
            </w:tcBorders>
            <w:vAlign w:val="center"/>
          </w:tcPr>
          <w:p>
            <w:pPr>
              <w:jc w:val="center"/>
              <w:rPr>
                <w:rFonts w:asci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3668" w:type="dxa"/>
            <w:gridSpan w:val="5"/>
            <w:tcBorders>
              <w:top w:val="single" w:color="auto" w:sz="4" w:space="0"/>
              <w:left w:val="nil"/>
              <w:bottom w:val="single" w:color="auto" w:sz="4" w:space="0"/>
              <w:right w:val="nil"/>
            </w:tcBorders>
          </w:tcPr>
          <w:p>
            <w:pPr>
              <w:rPr>
                <w:rFonts w:ascii="宋体" w:cs="宋体"/>
                <w:sz w:val="20"/>
                <w:szCs w:val="20"/>
              </w:rPr>
            </w:pPr>
            <w:r>
              <w:rPr>
                <w:sz w:val="20"/>
                <w:szCs w:val="20"/>
              </w:rPr>
              <w:t xml:space="preserve">  </w:t>
            </w:r>
            <w:r>
              <w:rPr>
                <w:rFonts w:hint="eastAsia"/>
                <w:sz w:val="20"/>
                <w:szCs w:val="20"/>
              </w:rPr>
              <w:t>……</w:t>
            </w:r>
          </w:p>
        </w:tc>
        <w:tc>
          <w:tcPr>
            <w:tcW w:w="4936" w:type="dxa"/>
            <w:gridSpan w:val="4"/>
            <w:tcBorders>
              <w:top w:val="single" w:color="auto" w:sz="4" w:space="0"/>
              <w:left w:val="single" w:color="auto" w:sz="4" w:space="0"/>
              <w:bottom w:val="single" w:color="auto" w:sz="4" w:space="0"/>
              <w:right w:val="single" w:color="000000" w:sz="4" w:space="0"/>
            </w:tcBorders>
          </w:tcPr>
          <w:p>
            <w:pPr>
              <w:rPr>
                <w:rFonts w:ascii="宋体" w:cs="宋体"/>
                <w:sz w:val="20"/>
                <w:szCs w:val="20"/>
              </w:rPr>
            </w:pPr>
            <w:r>
              <w:rPr>
                <w:sz w:val="20"/>
                <w:szCs w:val="20"/>
              </w:rPr>
              <w:t xml:space="preserve"> </w:t>
            </w:r>
            <w:r>
              <w:rPr>
                <w:rFonts w:hint="eastAsia"/>
                <w:sz w:val="20"/>
                <w:szCs w:val="20"/>
              </w:rPr>
              <w:t>目标1：根据《安徽省人民政府关于2019年实施33项民生工程的通知》（皖政〔2019〕14号）文件，资助困难群众参保全覆盖，资助困难群众参保人数22.3万人，其中资助建卡贫困人口参保人数16.7万人。住院救助和门诊救助应救尽救，以保障困难群众基本医疗权益为目标，最大限度减轻困难群众医疗支出负担。</w:t>
            </w: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绩</w:t>
            </w:r>
            <w:r>
              <w:rPr>
                <w:sz w:val="20"/>
                <w:szCs w:val="20"/>
              </w:rPr>
              <w:br w:type="textWrapping"/>
            </w:r>
            <w:r>
              <w:rPr>
                <w:rFonts w:hint="eastAsia"/>
                <w:sz w:val="20"/>
                <w:szCs w:val="20"/>
              </w:rPr>
              <w:t>效</w:t>
            </w:r>
            <w:r>
              <w:rPr>
                <w:sz w:val="20"/>
                <w:szCs w:val="20"/>
              </w:rPr>
              <w:br w:type="textWrapping"/>
            </w:r>
            <w:r>
              <w:rPr>
                <w:rFonts w:hint="eastAsia"/>
                <w:sz w:val="20"/>
                <w:szCs w:val="20"/>
              </w:rPr>
              <w:t>指</w:t>
            </w:r>
            <w:r>
              <w:rPr>
                <w:sz w:val="20"/>
                <w:szCs w:val="20"/>
              </w:rPr>
              <w:br w:type="textWrapping"/>
            </w:r>
            <w:r>
              <w:rPr>
                <w:rFonts w:hint="eastAsia"/>
                <w:sz w:val="20"/>
                <w:szCs w:val="20"/>
              </w:rPr>
              <w:t>标</w:t>
            </w:r>
          </w:p>
        </w:tc>
        <w:tc>
          <w:tcPr>
            <w:tcW w:w="820" w:type="dxa"/>
            <w:tcBorders>
              <w:top w:val="nil"/>
              <w:left w:val="nil"/>
              <w:bottom w:val="nil"/>
              <w:right w:val="single" w:color="auto" w:sz="4" w:space="0"/>
            </w:tcBorders>
            <w:vAlign w:val="center"/>
          </w:tcPr>
          <w:p>
            <w:pPr>
              <w:jc w:val="center"/>
              <w:rPr>
                <w:rFonts w:ascii="宋体" w:cs="宋体"/>
                <w:sz w:val="20"/>
                <w:szCs w:val="20"/>
              </w:rPr>
            </w:pPr>
            <w:r>
              <w:rPr>
                <w:rFonts w:hint="eastAsia"/>
                <w:sz w:val="20"/>
                <w:szCs w:val="20"/>
              </w:rPr>
              <w:t>一级</w:t>
            </w:r>
            <w:r>
              <w:rPr>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vAlign w:val="center"/>
          </w:tcPr>
          <w:p>
            <w:pPr>
              <w:jc w:val="center"/>
              <w:rPr>
                <w:sz w:val="20"/>
                <w:szCs w:val="20"/>
              </w:rPr>
            </w:pPr>
            <w:r>
              <w:rPr>
                <w:rFonts w:hint="eastAsia"/>
                <w:sz w:val="20"/>
                <w:szCs w:val="20"/>
              </w:rPr>
              <w:t>二级</w:t>
            </w:r>
          </w:p>
          <w:p>
            <w:pPr>
              <w:jc w:val="center"/>
              <w:rPr>
                <w:rFonts w:ascii="宋体" w:cs="宋体"/>
                <w:sz w:val="20"/>
                <w:szCs w:val="20"/>
              </w:rPr>
            </w:pPr>
            <w:r>
              <w:rPr>
                <w:rFonts w:hint="eastAsia"/>
                <w:sz w:val="20"/>
                <w:szCs w:val="20"/>
              </w:rPr>
              <w:t>指标</w:t>
            </w:r>
          </w:p>
        </w:tc>
        <w:tc>
          <w:tcPr>
            <w:tcW w:w="876" w:type="dxa"/>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三级指标</w:t>
            </w:r>
          </w:p>
        </w:tc>
        <w:tc>
          <w:tcPr>
            <w:tcW w:w="600" w:type="dxa"/>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指标值</w:t>
            </w:r>
          </w:p>
        </w:tc>
        <w:tc>
          <w:tcPr>
            <w:tcW w:w="432" w:type="dxa"/>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绩效标准</w:t>
            </w:r>
          </w:p>
        </w:tc>
        <w:tc>
          <w:tcPr>
            <w:tcW w:w="504" w:type="dxa"/>
            <w:tcBorders>
              <w:top w:val="nil"/>
              <w:left w:val="nil"/>
              <w:bottom w:val="single" w:color="auto" w:sz="4" w:space="0"/>
              <w:right w:val="single" w:color="auto" w:sz="4" w:space="0"/>
            </w:tcBorders>
            <w:vAlign w:val="center"/>
          </w:tcPr>
          <w:p>
            <w:pPr>
              <w:jc w:val="center"/>
              <w:rPr>
                <w:sz w:val="20"/>
                <w:szCs w:val="20"/>
              </w:rPr>
            </w:pPr>
            <w:r>
              <w:rPr>
                <w:rFonts w:hint="eastAsia"/>
                <w:sz w:val="20"/>
                <w:szCs w:val="20"/>
              </w:rPr>
              <w:t>二级</w:t>
            </w:r>
          </w:p>
          <w:p>
            <w:pPr>
              <w:jc w:val="center"/>
              <w:rPr>
                <w:rFonts w:ascii="宋体" w:cs="宋体"/>
                <w:sz w:val="20"/>
                <w:szCs w:val="20"/>
              </w:rPr>
            </w:pPr>
            <w:r>
              <w:rPr>
                <w:rFonts w:hint="eastAsia"/>
                <w:sz w:val="20"/>
                <w:szCs w:val="20"/>
              </w:rPr>
              <w:t>指标</w:t>
            </w:r>
          </w:p>
        </w:tc>
        <w:tc>
          <w:tcPr>
            <w:tcW w:w="648" w:type="dxa"/>
            <w:tcBorders>
              <w:top w:val="nil"/>
              <w:left w:val="nil"/>
              <w:bottom w:val="single" w:color="auto" w:sz="4" w:space="0"/>
              <w:right w:val="nil"/>
            </w:tcBorders>
            <w:vAlign w:val="center"/>
          </w:tcPr>
          <w:p>
            <w:pPr>
              <w:jc w:val="center"/>
              <w:rPr>
                <w:rFonts w:ascii="宋体" w:cs="宋体"/>
                <w:sz w:val="20"/>
                <w:szCs w:val="20"/>
              </w:rPr>
            </w:pPr>
            <w:r>
              <w:rPr>
                <w:rFonts w:hint="eastAsia"/>
                <w:sz w:val="20"/>
                <w:szCs w:val="20"/>
              </w:rPr>
              <w:t>三级指标</w:t>
            </w:r>
          </w:p>
        </w:tc>
        <w:tc>
          <w:tcPr>
            <w:tcW w:w="3420" w:type="dxa"/>
            <w:tcBorders>
              <w:top w:val="nil"/>
              <w:left w:val="single" w:color="auto" w:sz="4" w:space="0"/>
              <w:bottom w:val="single" w:color="auto" w:sz="4" w:space="0"/>
              <w:right w:val="single" w:color="auto" w:sz="4" w:space="0"/>
            </w:tcBorders>
            <w:vAlign w:val="center"/>
          </w:tcPr>
          <w:p>
            <w:pPr>
              <w:jc w:val="center"/>
              <w:rPr>
                <w:rFonts w:ascii="宋体" w:cs="宋体"/>
                <w:sz w:val="20"/>
                <w:szCs w:val="20"/>
              </w:rPr>
            </w:pPr>
            <w:r>
              <w:rPr>
                <w:rFonts w:hint="eastAsia"/>
                <w:sz w:val="20"/>
                <w:szCs w:val="20"/>
              </w:rPr>
              <w:t>指标值</w:t>
            </w:r>
          </w:p>
        </w:tc>
        <w:tc>
          <w:tcPr>
            <w:tcW w:w="364" w:type="dxa"/>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宋体" w:cs="宋体"/>
                <w:sz w:val="20"/>
                <w:szCs w:val="20"/>
              </w:rPr>
            </w:pPr>
            <w:r>
              <w:rPr>
                <w:rFonts w:hint="eastAsia"/>
                <w:sz w:val="20"/>
                <w:szCs w:val="20"/>
              </w:rPr>
              <w:t>产</w:t>
            </w:r>
            <w:r>
              <w:rPr>
                <w:sz w:val="20"/>
                <w:szCs w:val="20"/>
              </w:rPr>
              <w:br w:type="textWrapping"/>
            </w:r>
            <w:r>
              <w:rPr>
                <w:rFonts w:hint="eastAsia"/>
                <w:sz w:val="20"/>
                <w:szCs w:val="20"/>
              </w:rPr>
              <w:t>出</w:t>
            </w:r>
            <w:r>
              <w:rPr>
                <w:sz w:val="20"/>
                <w:szCs w:val="20"/>
              </w:rPr>
              <w:br w:type="textWrapping"/>
            </w:r>
            <w:r>
              <w:rPr>
                <w:rFonts w:hint="eastAsia"/>
                <w:sz w:val="20"/>
                <w:szCs w:val="20"/>
              </w:rPr>
              <w:t>指</w:t>
            </w:r>
            <w:r>
              <w:rPr>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数量</w:t>
            </w:r>
          </w:p>
          <w:p>
            <w:pPr>
              <w:jc w:val="center"/>
              <w:rPr>
                <w:rFonts w:ascii="宋体" w:cs="宋体"/>
                <w:sz w:val="20"/>
                <w:szCs w:val="20"/>
              </w:rPr>
            </w:pPr>
            <w:r>
              <w:rPr>
                <w:rFonts w:hint="eastAsia"/>
                <w:sz w:val="20"/>
                <w:szCs w:val="20"/>
              </w:rPr>
              <w:t>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数量</w:t>
            </w:r>
          </w:p>
          <w:p>
            <w:pPr>
              <w:jc w:val="center"/>
              <w:rPr>
                <w:rFonts w:ascii="宋体" w:cs="宋体"/>
                <w:sz w:val="20"/>
                <w:szCs w:val="20"/>
              </w:rPr>
            </w:pPr>
            <w:r>
              <w:rPr>
                <w:rFonts w:hint="eastAsia"/>
                <w:sz w:val="20"/>
                <w:szCs w:val="20"/>
              </w:rPr>
              <w:t>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指标1：市、县当年城乡医疗救助覆盖率等于100%，且重特大疾病医疗救助人次占直接救助人次比例≥28%、医疗救助重点救助对象住院自负合规费用年度限额内救助比例≥70%</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900"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940"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质量</w:t>
            </w:r>
          </w:p>
          <w:p>
            <w:pPr>
              <w:jc w:val="center"/>
              <w:rPr>
                <w:rFonts w:ascii="宋体" w:cs="宋体"/>
                <w:sz w:val="20"/>
                <w:szCs w:val="20"/>
              </w:rPr>
            </w:pPr>
            <w:r>
              <w:rPr>
                <w:rFonts w:hint="eastAsia"/>
                <w:sz w:val="20"/>
                <w:szCs w:val="20"/>
              </w:rPr>
              <w:t>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质量</w:t>
            </w:r>
          </w:p>
          <w:p>
            <w:pPr>
              <w:jc w:val="center"/>
              <w:rPr>
                <w:rFonts w:ascii="宋体" w:cs="宋体"/>
                <w:sz w:val="20"/>
                <w:szCs w:val="20"/>
              </w:rPr>
            </w:pPr>
            <w:r>
              <w:rPr>
                <w:rFonts w:hint="eastAsia"/>
                <w:sz w:val="20"/>
                <w:szCs w:val="20"/>
              </w:rPr>
              <w:t>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hint="eastAsia"/>
                <w:sz w:val="20"/>
                <w:szCs w:val="20"/>
              </w:rPr>
            </w:pPr>
            <w:r>
              <w:rPr>
                <w:rFonts w:hint="eastAsia"/>
                <w:sz w:val="20"/>
                <w:szCs w:val="20"/>
              </w:rPr>
              <w:t>　指标1：市、县当年城乡医疗</w:t>
            </w:r>
          </w:p>
          <w:p>
            <w:pPr>
              <w:rPr>
                <w:rFonts w:ascii="宋体" w:cs="宋体"/>
                <w:sz w:val="20"/>
                <w:szCs w:val="20"/>
              </w:rPr>
            </w:pPr>
            <w:r>
              <w:rPr>
                <w:rFonts w:hint="eastAsia"/>
                <w:sz w:val="20"/>
                <w:szCs w:val="20"/>
              </w:rPr>
              <w:t>救助目标任务完成及时率等于100%</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940"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时效</w:t>
            </w:r>
          </w:p>
          <w:p>
            <w:pPr>
              <w:jc w:val="center"/>
              <w:rPr>
                <w:rFonts w:ascii="宋体" w:cs="宋体"/>
                <w:sz w:val="20"/>
                <w:szCs w:val="20"/>
              </w:rPr>
            </w:pPr>
            <w:r>
              <w:rPr>
                <w:rFonts w:hint="eastAsia"/>
                <w:sz w:val="20"/>
                <w:szCs w:val="20"/>
              </w:rPr>
              <w:t>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时效</w:t>
            </w:r>
          </w:p>
          <w:p>
            <w:pPr>
              <w:jc w:val="center"/>
              <w:rPr>
                <w:rFonts w:ascii="宋体" w:cs="宋体"/>
                <w:sz w:val="20"/>
                <w:szCs w:val="20"/>
              </w:rPr>
            </w:pPr>
            <w:r>
              <w:rPr>
                <w:rFonts w:hint="eastAsia"/>
                <w:sz w:val="20"/>
                <w:szCs w:val="20"/>
              </w:rPr>
              <w:t>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指标1：当年完成</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940"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成本</w:t>
            </w:r>
          </w:p>
          <w:p>
            <w:pPr>
              <w:jc w:val="center"/>
              <w:rPr>
                <w:rFonts w:ascii="宋体" w:cs="宋体"/>
                <w:sz w:val="20"/>
                <w:szCs w:val="20"/>
              </w:rPr>
            </w:pPr>
            <w:r>
              <w:rPr>
                <w:rFonts w:hint="eastAsia"/>
                <w:sz w:val="20"/>
                <w:szCs w:val="20"/>
              </w:rPr>
              <w:t>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成本</w:t>
            </w:r>
          </w:p>
          <w:p>
            <w:pPr>
              <w:jc w:val="center"/>
              <w:rPr>
                <w:rFonts w:ascii="宋体" w:cs="宋体"/>
                <w:sz w:val="20"/>
                <w:szCs w:val="20"/>
              </w:rPr>
            </w:pPr>
            <w:r>
              <w:rPr>
                <w:rFonts w:hint="eastAsia"/>
                <w:sz w:val="20"/>
                <w:szCs w:val="20"/>
              </w:rPr>
              <w:t>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指标1：2800万</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vMerge w:val="restart"/>
            <w:tcBorders>
              <w:top w:val="nil"/>
              <w:left w:val="single" w:color="auto" w:sz="4" w:space="0"/>
              <w:bottom w:val="single" w:color="auto" w:sz="4" w:space="0"/>
              <w:right w:val="single" w:color="auto" w:sz="4" w:space="0"/>
            </w:tcBorders>
            <w:vAlign w:val="center"/>
          </w:tcPr>
          <w:p>
            <w:pPr>
              <w:jc w:val="center"/>
              <w:rPr>
                <w:rFonts w:ascii="宋体" w:cs="宋体"/>
                <w:sz w:val="20"/>
                <w:szCs w:val="20"/>
              </w:rPr>
            </w:pPr>
            <w:r>
              <w:rPr>
                <w:rFonts w:hint="eastAsia"/>
                <w:sz w:val="20"/>
                <w:szCs w:val="20"/>
              </w:rPr>
              <w:t>效</w:t>
            </w:r>
            <w:r>
              <w:rPr>
                <w:sz w:val="20"/>
                <w:szCs w:val="20"/>
              </w:rPr>
              <w:br w:type="textWrapping"/>
            </w:r>
            <w:r>
              <w:rPr>
                <w:rFonts w:hint="eastAsia"/>
                <w:sz w:val="20"/>
                <w:szCs w:val="20"/>
              </w:rPr>
              <w:t>益</w:t>
            </w:r>
            <w:r>
              <w:rPr>
                <w:sz w:val="20"/>
                <w:szCs w:val="20"/>
              </w:rPr>
              <w:br w:type="textWrapping"/>
            </w:r>
            <w:r>
              <w:rPr>
                <w:rFonts w:hint="eastAsia"/>
                <w:sz w:val="20"/>
                <w:szCs w:val="20"/>
              </w:rPr>
              <w:t>指</w:t>
            </w:r>
            <w:r>
              <w:rPr>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经济效益指标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经济效</w:t>
            </w:r>
          </w:p>
          <w:p>
            <w:pPr>
              <w:jc w:val="center"/>
              <w:rPr>
                <w:rFonts w:ascii="宋体" w:cs="宋体"/>
                <w:sz w:val="20"/>
                <w:szCs w:val="20"/>
              </w:rPr>
            </w:pPr>
            <w:r>
              <w:rPr>
                <w:rFonts w:hint="eastAsia"/>
                <w:sz w:val="20"/>
                <w:szCs w:val="20"/>
              </w:rPr>
              <w:t>益指标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hint="eastAsia"/>
                <w:sz w:val="20"/>
                <w:szCs w:val="20"/>
              </w:rPr>
            </w:pPr>
            <w:r>
              <w:rPr>
                <w:rFonts w:hint="eastAsia"/>
                <w:sz w:val="20"/>
                <w:szCs w:val="20"/>
              </w:rPr>
              <w:t>　指标1：困难群众看病就医方便程度明显提高，</w:t>
            </w:r>
          </w:p>
          <w:p>
            <w:pPr>
              <w:rPr>
                <w:rFonts w:ascii="宋体" w:cs="宋体"/>
                <w:sz w:val="20"/>
                <w:szCs w:val="20"/>
              </w:rPr>
            </w:pPr>
            <w:r>
              <w:rPr>
                <w:rFonts w:hint="eastAsia"/>
                <w:sz w:val="20"/>
                <w:szCs w:val="20"/>
              </w:rPr>
              <w:t>困难群众医疗费用负担有效缓解</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940" w:type="dxa"/>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社会效益指标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社会效</w:t>
            </w:r>
          </w:p>
          <w:p>
            <w:pPr>
              <w:jc w:val="center"/>
              <w:rPr>
                <w:rFonts w:ascii="宋体" w:cs="宋体"/>
                <w:sz w:val="20"/>
                <w:szCs w:val="20"/>
              </w:rPr>
            </w:pPr>
            <w:r>
              <w:rPr>
                <w:rFonts w:hint="eastAsia"/>
                <w:sz w:val="20"/>
                <w:szCs w:val="20"/>
              </w:rPr>
              <w:t>益指标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指标1：通过城乡医疗救助项目实施，困难群众看病就医方便程度明显提高，困难群众医疗费用有效缓解　</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940" w:type="dxa"/>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生态效益指标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生态效益指标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940" w:type="dxa"/>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可持续影响</w:t>
            </w:r>
            <w:r>
              <w:rPr>
                <w:sz w:val="20"/>
                <w:szCs w:val="20"/>
              </w:rPr>
              <w:br w:type="textWrapping"/>
            </w:r>
            <w:r>
              <w:rPr>
                <w:rFonts w:hint="eastAsia"/>
                <w:sz w:val="20"/>
                <w:szCs w:val="20"/>
              </w:rPr>
              <w:t>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cs="宋体"/>
                <w:sz w:val="20"/>
                <w:szCs w:val="20"/>
              </w:rPr>
            </w:pPr>
            <w:r>
              <w:rPr>
                <w:rFonts w:hint="eastAsia"/>
                <w:sz w:val="20"/>
                <w:szCs w:val="20"/>
              </w:rPr>
              <w:t>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hint="eastAsia"/>
                <w:sz w:val="20"/>
                <w:szCs w:val="20"/>
              </w:rPr>
            </w:pPr>
            <w:r>
              <w:rPr>
                <w:rFonts w:hint="eastAsia"/>
                <w:sz w:val="20"/>
                <w:szCs w:val="20"/>
              </w:rPr>
              <w:t>　指标1：城乡医疗救助项目实施得到了社会和广大贫困人群的普遍认可和赞同，</w:t>
            </w:r>
          </w:p>
          <w:p>
            <w:pPr>
              <w:rPr>
                <w:rFonts w:ascii="宋体" w:cs="宋体"/>
                <w:sz w:val="20"/>
                <w:szCs w:val="20"/>
              </w:rPr>
            </w:pPr>
            <w:r>
              <w:rPr>
                <w:rFonts w:hint="eastAsia"/>
                <w:sz w:val="20"/>
                <w:szCs w:val="20"/>
              </w:rPr>
              <w:t>且积极参与和支持。项目经办单位管理制度健全，工作程序规范，工作积极性高，工作零失误，服务对象普遍反映良好。</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820" w:type="dxa"/>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满意度指标</w:t>
            </w:r>
          </w:p>
        </w:tc>
        <w:tc>
          <w:tcPr>
            <w:tcW w:w="940" w:type="dxa"/>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服务对象满意度指标</w:t>
            </w:r>
          </w:p>
        </w:tc>
        <w:tc>
          <w:tcPr>
            <w:tcW w:w="876"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600" w:type="dxa"/>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432" w:type="dxa"/>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504" w:type="dxa"/>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cs="宋体"/>
                <w:sz w:val="20"/>
                <w:szCs w:val="20"/>
              </w:rPr>
            </w:pPr>
            <w:r>
              <w:rPr>
                <w:rFonts w:hint="eastAsia"/>
                <w:sz w:val="20"/>
                <w:szCs w:val="20"/>
              </w:rPr>
              <w:t>度指标</w:t>
            </w:r>
          </w:p>
        </w:tc>
        <w:tc>
          <w:tcPr>
            <w:tcW w:w="648" w:type="dxa"/>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3420" w:type="dxa"/>
            <w:tcBorders>
              <w:top w:val="nil"/>
              <w:left w:val="nil"/>
              <w:bottom w:val="single" w:color="auto" w:sz="4" w:space="0"/>
              <w:right w:val="single" w:color="auto" w:sz="4" w:space="0"/>
            </w:tcBorders>
            <w:vAlign w:val="center"/>
          </w:tcPr>
          <w:p>
            <w:pPr>
              <w:rPr>
                <w:rFonts w:hint="eastAsia"/>
                <w:sz w:val="20"/>
                <w:szCs w:val="20"/>
              </w:rPr>
            </w:pPr>
            <w:r>
              <w:rPr>
                <w:rFonts w:hint="eastAsia"/>
                <w:sz w:val="20"/>
                <w:szCs w:val="20"/>
              </w:rPr>
              <w:t>　指标1：通过随机问卷调查、电话访问、现场</w:t>
            </w:r>
          </w:p>
          <w:p>
            <w:pPr>
              <w:rPr>
                <w:rFonts w:ascii="宋体" w:cs="宋体"/>
                <w:sz w:val="20"/>
                <w:szCs w:val="20"/>
              </w:rPr>
            </w:pPr>
            <w:r>
              <w:rPr>
                <w:rFonts w:hint="eastAsia"/>
                <w:sz w:val="20"/>
                <w:szCs w:val="20"/>
              </w:rPr>
              <w:t>走访等形式，对社会公众、受益对象满意度进行调查，达到85%。</w:t>
            </w:r>
          </w:p>
        </w:tc>
        <w:tc>
          <w:tcPr>
            <w:tcW w:w="364" w:type="dxa"/>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bl>
    <w:p>
      <w:pPr>
        <w:adjustRightInd w:val="0"/>
        <w:snapToGrid w:val="0"/>
        <w:spacing w:line="600" w:lineRule="exact"/>
        <w:ind w:firstLine="803" w:firstLineChars="250"/>
        <w:rPr>
          <w:rFonts w:ascii="仿宋_GB2312" w:hAnsi="楷体" w:eastAsia="仿宋_GB2312"/>
          <w:b/>
          <w:sz w:val="32"/>
          <w:szCs w:val="32"/>
        </w:rPr>
      </w:pPr>
    </w:p>
    <w:p>
      <w:pPr>
        <w:adjustRightInd w:val="0"/>
        <w:snapToGrid w:val="0"/>
        <w:spacing w:line="600" w:lineRule="exact"/>
        <w:ind w:firstLine="803" w:firstLineChars="250"/>
        <w:rPr>
          <w:rFonts w:ascii="仿宋_GB2312" w:hAnsi="楷体" w:eastAsia="仿宋_GB2312"/>
          <w:b/>
          <w:sz w:val="32"/>
          <w:szCs w:val="32"/>
        </w:rPr>
      </w:pPr>
    </w:p>
    <w:p>
      <w:pPr>
        <w:adjustRightInd w:val="0"/>
        <w:snapToGrid w:val="0"/>
        <w:spacing w:line="600" w:lineRule="exact"/>
        <w:ind w:firstLine="803" w:firstLineChars="250"/>
        <w:rPr>
          <w:rFonts w:ascii="仿宋_GB2312" w:hAnsi="楷体" w:eastAsia="仿宋_GB2312"/>
          <w:b/>
          <w:sz w:val="32"/>
          <w:szCs w:val="32"/>
        </w:rPr>
      </w:pPr>
      <w:r>
        <w:rPr>
          <w:rFonts w:ascii="仿宋_GB2312" w:hAnsi="楷体" w:eastAsia="仿宋_GB2312"/>
          <w:b/>
          <w:sz w:val="32"/>
          <w:szCs w:val="32"/>
        </w:rPr>
        <w:t>2.</w:t>
      </w:r>
      <w:r>
        <w:rPr>
          <w:rFonts w:hint="eastAsia" w:ascii="仿宋_GB2312" w:hAnsi="楷体" w:eastAsia="仿宋_GB2312"/>
          <w:b/>
          <w:sz w:val="32"/>
          <w:szCs w:val="32"/>
        </w:rPr>
        <w:t>“城镇居民基本医疗保险（民生工程)”项目。</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w:t>
      </w:r>
      <w:r>
        <w:rPr>
          <w:rFonts w:ascii="仿宋_GB2312" w:hAnsi="楷体" w:eastAsia="仿宋_GB2312"/>
          <w:sz w:val="32"/>
          <w:szCs w:val="32"/>
        </w:rPr>
        <w:t>1</w:t>
      </w:r>
      <w:r>
        <w:rPr>
          <w:rFonts w:hint="eastAsia" w:ascii="仿宋_GB2312" w:hAnsi="楷体" w:eastAsia="仿宋_GB2312"/>
          <w:sz w:val="32"/>
          <w:szCs w:val="32"/>
        </w:rPr>
        <w:t>）项目概述</w:t>
      </w:r>
      <w:r>
        <w:rPr>
          <w:rFonts w:hint="eastAsia" w:ascii="仿宋_GB2312" w:hAnsi="楷体" w:eastAsia="仿宋_GB2312"/>
          <w:sz w:val="32"/>
          <w:szCs w:val="32"/>
          <w:lang w:eastAsia="zh-CN"/>
        </w:rPr>
        <w:t>：</w:t>
      </w:r>
      <w:r>
        <w:rPr>
          <w:rFonts w:hint="eastAsia" w:ascii="仿宋_GB2312" w:hAnsi="楷体" w:eastAsia="仿宋_GB2312"/>
          <w:sz w:val="32"/>
          <w:szCs w:val="32"/>
        </w:rPr>
        <w:t xml:space="preserve"> 坚持以人为本，着眼于促进社会公平，完善基本医疗保障体系。</w:t>
      </w:r>
    </w:p>
    <w:p>
      <w:pPr>
        <w:spacing w:line="600" w:lineRule="exact"/>
        <w:ind w:firstLine="585" w:firstLineChars="183"/>
        <w:rPr>
          <w:rFonts w:hint="eastAsia" w:ascii="仿宋_GB2312" w:hAnsi="楷体" w:eastAsia="仿宋_GB2312"/>
          <w:sz w:val="32"/>
          <w:szCs w:val="32"/>
          <w:lang w:eastAsia="zh-CN"/>
        </w:rPr>
      </w:pPr>
      <w:r>
        <w:rPr>
          <w:rFonts w:hint="eastAsia" w:ascii="仿宋_GB2312" w:hAnsi="楷体" w:eastAsia="仿宋_GB2312"/>
          <w:sz w:val="32"/>
          <w:szCs w:val="32"/>
        </w:rPr>
        <w:t>（</w:t>
      </w:r>
      <w:r>
        <w:rPr>
          <w:rFonts w:ascii="仿宋_GB2312" w:hAnsi="楷体" w:eastAsia="仿宋_GB2312"/>
          <w:sz w:val="32"/>
          <w:szCs w:val="32"/>
        </w:rPr>
        <w:t>2</w:t>
      </w:r>
      <w:r>
        <w:rPr>
          <w:rFonts w:hint="eastAsia" w:ascii="仿宋_GB2312" w:hAnsi="楷体" w:eastAsia="仿宋_GB2312"/>
          <w:sz w:val="32"/>
          <w:szCs w:val="32"/>
        </w:rPr>
        <w:t>）立项依据</w:t>
      </w:r>
      <w:r>
        <w:rPr>
          <w:rFonts w:hint="eastAsia" w:ascii="仿宋_GB2312" w:hAnsi="楷体" w:eastAsia="仿宋_GB2312"/>
          <w:sz w:val="32"/>
          <w:szCs w:val="32"/>
          <w:lang w:eastAsia="zh-CN"/>
        </w:rPr>
        <w:t>：</w:t>
      </w:r>
      <w:r>
        <w:rPr>
          <w:rFonts w:hint="eastAsia" w:ascii="仿宋_GB2312" w:hAnsi="楷体" w:eastAsia="仿宋_GB2312"/>
          <w:sz w:val="32"/>
          <w:szCs w:val="32"/>
        </w:rPr>
        <w:t>根据《安徽省人民政府关于2019年实施33项民生工程的通知》（皖政〔2019〕14号）文件</w:t>
      </w:r>
      <w:r>
        <w:rPr>
          <w:rFonts w:hint="eastAsia" w:ascii="仿宋_GB2312" w:hAnsi="楷体" w:eastAsia="仿宋_GB2312"/>
          <w:sz w:val="32"/>
          <w:szCs w:val="32"/>
          <w:lang w:eastAsia="zh-CN"/>
        </w:rPr>
        <w:t>。</w:t>
      </w:r>
    </w:p>
    <w:p>
      <w:pPr>
        <w:adjustRightInd w:val="0"/>
        <w:snapToGrid w:val="0"/>
        <w:spacing w:line="600" w:lineRule="exact"/>
        <w:ind w:firstLine="640" w:firstLineChars="200"/>
        <w:rPr>
          <w:rFonts w:hint="eastAsia" w:ascii="仿宋_GB2312" w:hAnsi="仿宋" w:eastAsia="仿宋_GB2312"/>
          <w:sz w:val="32"/>
          <w:szCs w:val="32"/>
          <w:lang w:eastAsia="zh-CN"/>
        </w:rPr>
      </w:pPr>
      <w:r>
        <w:rPr>
          <w:rFonts w:hint="eastAsia" w:ascii="仿宋_GB2312" w:hAnsi="楷体" w:eastAsia="仿宋_GB2312"/>
          <w:sz w:val="32"/>
          <w:szCs w:val="32"/>
        </w:rPr>
        <w:t>（</w:t>
      </w:r>
      <w:r>
        <w:rPr>
          <w:rFonts w:ascii="仿宋_GB2312" w:hAnsi="楷体" w:eastAsia="仿宋_GB2312"/>
          <w:sz w:val="32"/>
          <w:szCs w:val="32"/>
        </w:rPr>
        <w:t>3</w:t>
      </w:r>
      <w:r>
        <w:rPr>
          <w:rFonts w:hint="eastAsia" w:ascii="仿宋_GB2312" w:hAnsi="楷体" w:eastAsia="仿宋_GB2312"/>
          <w:sz w:val="32"/>
          <w:szCs w:val="32"/>
        </w:rPr>
        <w:t>）实施主体</w:t>
      </w:r>
      <w:r>
        <w:rPr>
          <w:rFonts w:hint="eastAsia" w:ascii="仿宋_GB2312" w:hAnsi="楷体" w:eastAsia="仿宋_GB2312"/>
          <w:sz w:val="32"/>
          <w:szCs w:val="32"/>
          <w:lang w:eastAsia="zh-CN"/>
        </w:rPr>
        <w:t>：</w:t>
      </w:r>
      <w:r>
        <w:rPr>
          <w:rFonts w:hint="eastAsia" w:ascii="仿宋_GB2312" w:hAnsi="仿宋" w:eastAsia="仿宋_GB2312"/>
          <w:sz w:val="32"/>
          <w:szCs w:val="32"/>
          <w:lang w:eastAsia="zh-CN"/>
        </w:rPr>
        <w:t>淮南市医疗保障局</w:t>
      </w:r>
    </w:p>
    <w:p>
      <w:pPr>
        <w:adjustRightInd w:val="0"/>
        <w:snapToGrid w:val="0"/>
        <w:spacing w:line="600" w:lineRule="exact"/>
        <w:ind w:firstLine="640" w:firstLineChars="200"/>
        <w:rPr>
          <w:rFonts w:hint="default" w:ascii="仿宋_GB2312" w:hAnsi="仿宋" w:eastAsia="仿宋_GB2312"/>
          <w:sz w:val="32"/>
          <w:szCs w:val="32"/>
          <w:lang w:val="en-US" w:eastAsia="zh-CN"/>
        </w:rPr>
      </w:pPr>
      <w:r>
        <w:rPr>
          <w:rFonts w:hint="eastAsia" w:ascii="仿宋_GB2312" w:hAnsi="楷体" w:eastAsia="仿宋_GB2312"/>
          <w:sz w:val="32"/>
          <w:szCs w:val="32"/>
        </w:rPr>
        <w:t>（</w:t>
      </w:r>
      <w:r>
        <w:rPr>
          <w:rFonts w:ascii="仿宋_GB2312" w:hAnsi="楷体" w:eastAsia="仿宋_GB2312"/>
          <w:sz w:val="32"/>
          <w:szCs w:val="32"/>
        </w:rPr>
        <w:t>4</w:t>
      </w:r>
      <w:r>
        <w:rPr>
          <w:rFonts w:hint="eastAsia" w:ascii="仿宋_GB2312" w:hAnsi="楷体" w:eastAsia="仿宋_GB2312"/>
          <w:sz w:val="32"/>
          <w:szCs w:val="32"/>
        </w:rPr>
        <w:t>）起止时间</w:t>
      </w:r>
      <w:r>
        <w:rPr>
          <w:rFonts w:hint="eastAsia" w:ascii="仿宋_GB2312" w:hAnsi="楷体" w:eastAsia="仿宋_GB2312"/>
          <w:sz w:val="32"/>
          <w:szCs w:val="32"/>
          <w:lang w:eastAsia="zh-CN"/>
        </w:rPr>
        <w:t>：</w:t>
      </w:r>
      <w:r>
        <w:rPr>
          <w:rFonts w:hint="eastAsia" w:ascii="仿宋_GB2312" w:hAnsi="仿宋" w:eastAsia="仿宋_GB2312"/>
          <w:sz w:val="32"/>
          <w:szCs w:val="32"/>
          <w:lang w:val="en-US" w:eastAsia="zh-CN"/>
        </w:rPr>
        <w:t>2022年全年</w:t>
      </w:r>
    </w:p>
    <w:p>
      <w:pPr>
        <w:spacing w:line="600" w:lineRule="exact"/>
        <w:ind w:firstLine="642"/>
        <w:rPr>
          <w:rFonts w:hint="eastAsia" w:ascii="仿宋_GB2312" w:hAnsi="仿宋" w:eastAsia="仿宋_GB2312" w:cs="仿宋_GB2312"/>
          <w:bCs/>
          <w:sz w:val="32"/>
          <w:szCs w:val="32"/>
        </w:rPr>
      </w:pPr>
      <w:r>
        <w:rPr>
          <w:rFonts w:hint="eastAsia" w:ascii="仿宋_GB2312" w:hAnsi="楷体" w:eastAsia="仿宋_GB2312"/>
          <w:sz w:val="32"/>
          <w:szCs w:val="32"/>
        </w:rPr>
        <w:t>（</w:t>
      </w:r>
      <w:r>
        <w:rPr>
          <w:rFonts w:ascii="仿宋_GB2312" w:hAnsi="楷体" w:eastAsia="仿宋_GB2312"/>
          <w:sz w:val="32"/>
          <w:szCs w:val="32"/>
        </w:rPr>
        <w:t>5</w:t>
      </w:r>
      <w:r>
        <w:rPr>
          <w:rFonts w:hint="eastAsia" w:ascii="仿宋_GB2312" w:hAnsi="楷体" w:eastAsia="仿宋_GB2312"/>
          <w:sz w:val="32"/>
          <w:szCs w:val="32"/>
        </w:rPr>
        <w:t>）项目内容</w:t>
      </w:r>
      <w:r>
        <w:rPr>
          <w:rFonts w:hint="eastAsia" w:ascii="仿宋_GB2312" w:hAnsi="楷体" w:eastAsia="仿宋_GB2312"/>
          <w:sz w:val="32"/>
          <w:szCs w:val="32"/>
          <w:lang w:eastAsia="zh-CN"/>
        </w:rPr>
        <w:t>：</w:t>
      </w:r>
      <w:r>
        <w:rPr>
          <w:rFonts w:hint="eastAsia" w:ascii="仿宋_GB2312" w:hAnsi="仿宋" w:eastAsia="仿宋_GB2312"/>
          <w:sz w:val="32"/>
          <w:szCs w:val="32"/>
        </w:rPr>
        <w:t>城镇居民基本医保参保率达到95%以上；落实城镇居民医保筹资政策，进一步提高筹资标准；新增筹资主要用于提高基本医疗保障水平，政策范围内报销比例稳定在75%左右；普通门诊规定限额内报销比例不低于50%。</w:t>
      </w:r>
    </w:p>
    <w:p>
      <w:pPr>
        <w:adjustRightInd w:val="0"/>
        <w:snapToGrid w:val="0"/>
        <w:spacing w:line="600" w:lineRule="exact"/>
        <w:ind w:firstLine="640" w:firstLineChars="200"/>
        <w:rPr>
          <w:rFonts w:hint="default" w:ascii="仿宋_GB2312" w:hAnsi="仿宋" w:eastAsia="仿宋_GB2312"/>
          <w:sz w:val="32"/>
          <w:szCs w:val="32"/>
          <w:lang w:val="en-US" w:eastAsia="zh-CN"/>
        </w:rPr>
      </w:pPr>
      <w:r>
        <w:rPr>
          <w:rFonts w:hint="eastAsia" w:ascii="仿宋_GB2312" w:hAnsi="楷体" w:eastAsia="仿宋_GB2312"/>
          <w:sz w:val="32"/>
          <w:szCs w:val="32"/>
        </w:rPr>
        <w:t>（</w:t>
      </w:r>
      <w:r>
        <w:rPr>
          <w:rFonts w:ascii="仿宋_GB2312" w:hAnsi="楷体" w:eastAsia="仿宋_GB2312"/>
          <w:sz w:val="32"/>
          <w:szCs w:val="32"/>
        </w:rPr>
        <w:t>6</w:t>
      </w:r>
      <w:r>
        <w:rPr>
          <w:rFonts w:hint="eastAsia" w:ascii="仿宋_GB2312" w:hAnsi="楷体" w:eastAsia="仿宋_GB2312"/>
          <w:sz w:val="32"/>
          <w:szCs w:val="32"/>
        </w:rPr>
        <w:t>）年度预算安排</w:t>
      </w:r>
      <w:r>
        <w:rPr>
          <w:rFonts w:hint="eastAsia" w:ascii="仿宋_GB2312" w:hAnsi="楷体" w:eastAsia="仿宋_GB2312"/>
          <w:sz w:val="32"/>
          <w:szCs w:val="32"/>
          <w:lang w:eastAsia="zh-CN"/>
        </w:rPr>
        <w:t>：</w:t>
      </w:r>
      <w:r>
        <w:rPr>
          <w:rFonts w:hint="eastAsia" w:ascii="仿宋_GB2312" w:hAnsi="仿宋" w:eastAsia="仿宋_GB2312"/>
          <w:sz w:val="32"/>
          <w:szCs w:val="32"/>
          <w:lang w:val="en-US" w:eastAsia="zh-CN"/>
        </w:rPr>
        <w:t>1800万元</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w:t>
      </w:r>
      <w:r>
        <w:rPr>
          <w:rFonts w:ascii="仿宋_GB2312" w:hAnsi="楷体" w:eastAsia="仿宋_GB2312"/>
          <w:sz w:val="32"/>
          <w:szCs w:val="32"/>
        </w:rPr>
        <w:t>7</w:t>
      </w:r>
      <w:r>
        <w:rPr>
          <w:rFonts w:hint="eastAsia" w:ascii="仿宋_GB2312" w:hAnsi="楷体" w:eastAsia="仿宋_GB2312"/>
          <w:sz w:val="32"/>
          <w:szCs w:val="32"/>
        </w:rPr>
        <w:t>）绩效目标</w:t>
      </w:r>
      <w:r>
        <w:rPr>
          <w:rFonts w:hint="eastAsia" w:ascii="仿宋_GB2312" w:hAnsi="楷体" w:eastAsia="仿宋_GB2312"/>
          <w:sz w:val="32"/>
          <w:szCs w:val="32"/>
          <w:lang w:eastAsia="zh-CN"/>
        </w:rPr>
        <w:t>：</w:t>
      </w:r>
    </w:p>
    <w:tbl>
      <w:tblPr>
        <w:tblStyle w:val="6"/>
        <w:tblW w:w="5000" w:type="pct"/>
        <w:tblInd w:w="0" w:type="dxa"/>
        <w:tblLayout w:type="autofit"/>
        <w:tblCellMar>
          <w:top w:w="0" w:type="dxa"/>
          <w:left w:w="108" w:type="dxa"/>
          <w:bottom w:w="0" w:type="dxa"/>
          <w:right w:w="108" w:type="dxa"/>
        </w:tblCellMar>
      </w:tblPr>
      <w:tblGrid>
        <w:gridCol w:w="416"/>
        <w:gridCol w:w="692"/>
        <w:gridCol w:w="798"/>
        <w:gridCol w:w="1721"/>
        <w:gridCol w:w="315"/>
        <w:gridCol w:w="387"/>
        <w:gridCol w:w="416"/>
        <w:gridCol w:w="668"/>
        <w:gridCol w:w="763"/>
        <w:gridCol w:w="667"/>
        <w:gridCol w:w="1133"/>
        <w:gridCol w:w="546"/>
      </w:tblGrid>
      <w:tr>
        <w:tblPrEx>
          <w:tblCellMar>
            <w:top w:w="0" w:type="dxa"/>
            <w:left w:w="108" w:type="dxa"/>
            <w:bottom w:w="0" w:type="dxa"/>
            <w:right w:w="108" w:type="dxa"/>
          </w:tblCellMar>
        </w:tblPrEx>
        <w:trPr>
          <w:trHeight w:val="360" w:hRule="atLeast"/>
        </w:trPr>
        <w:tc>
          <w:tcPr>
            <w:tcW w:w="5000" w:type="pct"/>
            <w:gridSpan w:val="12"/>
            <w:tcBorders>
              <w:top w:val="nil"/>
              <w:left w:val="nil"/>
              <w:bottom w:val="nil"/>
              <w:right w:val="nil"/>
            </w:tcBorders>
            <w:vAlign w:val="center"/>
          </w:tcPr>
          <w:p>
            <w:pPr>
              <w:rPr>
                <w:b/>
                <w:bCs/>
                <w:sz w:val="32"/>
                <w:szCs w:val="32"/>
              </w:rPr>
            </w:pPr>
          </w:p>
          <w:p>
            <w:pPr>
              <w:jc w:val="center"/>
              <w:rPr>
                <w:rFonts w:ascii="宋体" w:cs="宋体"/>
                <w:b/>
                <w:bCs/>
                <w:sz w:val="32"/>
                <w:szCs w:val="32"/>
              </w:rPr>
            </w:pPr>
            <w:r>
              <w:rPr>
                <w:rFonts w:hint="eastAsia"/>
                <w:b/>
                <w:bCs/>
                <w:sz w:val="32"/>
                <w:szCs w:val="32"/>
              </w:rPr>
              <w:t>项目支出绩效目标表</w:t>
            </w:r>
          </w:p>
        </w:tc>
      </w:tr>
      <w:tr>
        <w:trPr>
          <w:trHeight w:val="270" w:hRule="atLeast"/>
        </w:trPr>
        <w:tc>
          <w:tcPr>
            <w:tcW w:w="5000" w:type="pct"/>
            <w:gridSpan w:val="12"/>
            <w:tcBorders>
              <w:top w:val="nil"/>
              <w:left w:val="nil"/>
              <w:bottom w:val="nil"/>
              <w:right w:val="nil"/>
            </w:tcBorders>
            <w:vAlign w:val="center"/>
          </w:tcPr>
          <w:p>
            <w:pPr>
              <w:jc w:val="center"/>
              <w:rPr>
                <w:rFonts w:ascii="宋体" w:cs="宋体"/>
                <w:sz w:val="20"/>
                <w:szCs w:val="20"/>
              </w:rPr>
            </w:pPr>
            <w:r>
              <w:rPr>
                <w:rFonts w:hint="eastAsia"/>
                <w:sz w:val="20"/>
                <w:szCs w:val="20"/>
              </w:rPr>
              <w:t>（</w:t>
            </w:r>
            <w:r>
              <w:rPr>
                <w:sz w:val="20"/>
                <w:szCs w:val="20"/>
              </w:rPr>
              <w:t xml:space="preserve">2022 </w:t>
            </w:r>
            <w:r>
              <w:rPr>
                <w:rFonts w:hint="eastAsia"/>
                <w:sz w:val="20"/>
                <w:szCs w:val="20"/>
              </w:rPr>
              <w:t>年度）</w:t>
            </w:r>
          </w:p>
        </w:tc>
      </w:tr>
      <w:tr>
        <w:trPr>
          <w:trHeight w:val="330" w:hRule="atLeast"/>
        </w:trPr>
        <w:tc>
          <w:tcPr>
            <w:tcW w:w="632"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rPr>
              <w:t>项目名称</w:t>
            </w:r>
          </w:p>
        </w:tc>
        <w:tc>
          <w:tcPr>
            <w:tcW w:w="4367" w:type="pct"/>
            <w:gridSpan w:val="10"/>
            <w:tcBorders>
              <w:top w:val="single" w:color="auto" w:sz="4" w:space="0"/>
              <w:left w:val="nil"/>
              <w:bottom w:val="single" w:color="auto" w:sz="4" w:space="0"/>
              <w:right w:val="single" w:color="000000" w:sz="4" w:space="0"/>
            </w:tcBorders>
            <w:vAlign w:val="center"/>
          </w:tcPr>
          <w:p>
            <w:pPr>
              <w:jc w:val="center"/>
              <w:rPr>
                <w:rFonts w:ascii="宋体" w:cs="宋体"/>
                <w:color w:val="000000"/>
                <w:sz w:val="20"/>
                <w:szCs w:val="20"/>
              </w:rPr>
            </w:pPr>
            <w:r>
              <w:rPr>
                <w:rFonts w:hint="eastAsia"/>
                <w:color w:val="000000"/>
                <w:sz w:val="20"/>
                <w:szCs w:val="20"/>
                <w:lang w:eastAsia="zh-CN"/>
              </w:rPr>
              <w:t>城镇居民基本医疗保险（民生工程)</w:t>
            </w:r>
          </w:p>
        </w:tc>
      </w:tr>
      <w:tr>
        <w:tblPrEx>
          <w:tblCellMar>
            <w:top w:w="0" w:type="dxa"/>
            <w:left w:w="108" w:type="dxa"/>
            <w:bottom w:w="0" w:type="dxa"/>
            <w:right w:w="108" w:type="dxa"/>
          </w:tblCellMar>
        </w:tblPrEx>
        <w:trPr>
          <w:trHeight w:val="362" w:hRule="atLeast"/>
        </w:trPr>
        <w:tc>
          <w:tcPr>
            <w:tcW w:w="632"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rPr>
              <w:t>实施单位</w:t>
            </w:r>
          </w:p>
        </w:tc>
        <w:tc>
          <w:tcPr>
            <w:tcW w:w="4367" w:type="pct"/>
            <w:gridSpan w:val="10"/>
            <w:tcBorders>
              <w:top w:val="single" w:color="auto" w:sz="4" w:space="0"/>
              <w:left w:val="nil"/>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lang w:eastAsia="zh-CN"/>
              </w:rPr>
              <w:t>淮南市医疗保障局</w:t>
            </w:r>
            <w:r>
              <w:rPr>
                <w:rFonts w:hint="eastAsia"/>
                <w:color w:val="000000"/>
                <w:sz w:val="20"/>
                <w:szCs w:val="20"/>
              </w:rPr>
              <w:t>　</w:t>
            </w:r>
          </w:p>
        </w:tc>
      </w:tr>
      <w:tr>
        <w:tblPrEx>
          <w:tblCellMar>
            <w:top w:w="0" w:type="dxa"/>
            <w:left w:w="108" w:type="dxa"/>
            <w:bottom w:w="0" w:type="dxa"/>
            <w:right w:w="108" w:type="dxa"/>
          </w:tblCellMar>
        </w:tblPrEx>
        <w:trPr>
          <w:trHeight w:val="330" w:hRule="atLeast"/>
        </w:trPr>
        <w:tc>
          <w:tcPr>
            <w:tcW w:w="632" w:type="pct"/>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rPr>
              <w:t>项目属性</w:t>
            </w:r>
          </w:p>
        </w:tc>
        <w:tc>
          <w:tcPr>
            <w:tcW w:w="4367" w:type="pct"/>
            <w:gridSpan w:val="10"/>
            <w:tcBorders>
              <w:top w:val="single" w:color="auto" w:sz="4" w:space="0"/>
              <w:left w:val="nil"/>
              <w:bottom w:val="single" w:color="auto" w:sz="4" w:space="0"/>
              <w:right w:val="single" w:color="auto" w:sz="4" w:space="0"/>
            </w:tcBorders>
            <w:vAlign w:val="center"/>
          </w:tcPr>
          <w:p>
            <w:pPr>
              <w:jc w:val="center"/>
              <w:rPr>
                <w:rFonts w:ascii="宋体" w:cs="宋体"/>
                <w:color w:val="000000"/>
                <w:sz w:val="20"/>
                <w:szCs w:val="20"/>
              </w:rPr>
            </w:pPr>
            <w:r>
              <w:rPr>
                <w:rFonts w:hint="eastAsia"/>
                <w:color w:val="000000"/>
                <w:sz w:val="20"/>
                <w:szCs w:val="20"/>
                <w:lang w:eastAsia="zh-CN"/>
              </w:rPr>
              <w:t>延续性项目</w:t>
            </w:r>
            <w:r>
              <w:rPr>
                <w:rFonts w:hint="eastAsia"/>
                <w:color w:val="000000"/>
                <w:sz w:val="20"/>
                <w:szCs w:val="20"/>
              </w:rPr>
              <w:t>　</w:t>
            </w:r>
          </w:p>
        </w:tc>
      </w:tr>
      <w:tr>
        <w:tblPrEx>
          <w:tblCellMar>
            <w:top w:w="0" w:type="dxa"/>
            <w:left w:w="108" w:type="dxa"/>
            <w:bottom w:w="0" w:type="dxa"/>
            <w:right w:w="108" w:type="dxa"/>
          </w:tblCellMar>
        </w:tblPrEx>
        <w:trPr>
          <w:trHeight w:val="330" w:hRule="atLeast"/>
        </w:trPr>
        <w:tc>
          <w:tcPr>
            <w:tcW w:w="1114" w:type="pct"/>
            <w:gridSpan w:val="3"/>
            <w:vMerge w:val="restart"/>
            <w:tcBorders>
              <w:top w:val="single" w:color="auto" w:sz="4" w:space="0"/>
              <w:left w:val="single" w:color="auto" w:sz="4" w:space="0"/>
              <w:bottom w:val="single" w:color="000000" w:sz="4" w:space="0"/>
              <w:right w:val="single" w:color="000000" w:sz="4" w:space="0"/>
            </w:tcBorders>
            <w:vAlign w:val="center"/>
          </w:tcPr>
          <w:p>
            <w:pPr>
              <w:jc w:val="center"/>
              <w:rPr>
                <w:rFonts w:ascii="宋体" w:cs="宋体"/>
                <w:sz w:val="20"/>
                <w:szCs w:val="20"/>
              </w:rPr>
            </w:pPr>
            <w:r>
              <w:rPr>
                <w:rFonts w:hint="eastAsia"/>
                <w:sz w:val="20"/>
                <w:szCs w:val="20"/>
              </w:rPr>
              <w:t>项目资金</w:t>
            </w:r>
            <w:r>
              <w:rPr>
                <w:sz w:val="20"/>
                <w:szCs w:val="20"/>
              </w:rPr>
              <w:br w:type="textWrapping"/>
            </w:r>
            <w:r>
              <w:rPr>
                <w:rFonts w:hint="eastAsia"/>
                <w:sz w:val="20"/>
                <w:szCs w:val="20"/>
              </w:rPr>
              <w:t>（万元）</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中期资金总额：</w:t>
            </w:r>
          </w:p>
        </w:tc>
        <w:tc>
          <w:tcPr>
            <w:tcW w:w="198" w:type="pct"/>
            <w:tcBorders>
              <w:top w:val="single" w:color="auto" w:sz="4" w:space="0"/>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1651" w:type="pct"/>
            <w:gridSpan w:val="5"/>
            <w:tcBorders>
              <w:top w:val="single" w:color="auto" w:sz="4" w:space="0"/>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年度资金总额：</w:t>
            </w:r>
          </w:p>
        </w:tc>
        <w:tc>
          <w:tcPr>
            <w:tcW w:w="1010" w:type="pct"/>
            <w:gridSpan w:val="2"/>
            <w:tcBorders>
              <w:top w:val="single" w:color="auto" w:sz="4" w:space="0"/>
              <w:left w:val="nil"/>
              <w:bottom w:val="single" w:color="auto" w:sz="4" w:space="0"/>
              <w:right w:val="single" w:color="000000" w:sz="4" w:space="0"/>
            </w:tcBorders>
            <w:vAlign w:val="center"/>
          </w:tcPr>
          <w:p>
            <w:pPr>
              <w:jc w:val="center"/>
              <w:rPr>
                <w:rFonts w:ascii="宋体" w:cs="宋体"/>
                <w:sz w:val="20"/>
                <w:szCs w:val="20"/>
              </w:rPr>
            </w:pPr>
            <w:r>
              <w:rPr>
                <w:rFonts w:hint="eastAsia"/>
                <w:sz w:val="20"/>
                <w:szCs w:val="20"/>
                <w:lang w:val="en-US" w:eastAsia="zh-CN"/>
              </w:rPr>
              <w:t>1800万元</w:t>
            </w:r>
            <w:r>
              <w:rPr>
                <w:rFonts w:hint="eastAsia"/>
                <w:sz w:val="20"/>
                <w:szCs w:val="20"/>
              </w:rPr>
              <w:t>　</w:t>
            </w:r>
          </w:p>
        </w:tc>
      </w:tr>
      <w:tr>
        <w:tblPrEx>
          <w:tblCellMar>
            <w:top w:w="0" w:type="dxa"/>
            <w:left w:w="108" w:type="dxa"/>
            <w:bottom w:w="0" w:type="dxa"/>
            <w:right w:w="108" w:type="dxa"/>
          </w:tblCellMar>
        </w:tblPrEx>
        <w:trPr>
          <w:trHeight w:val="330" w:hRule="atLeast"/>
        </w:trPr>
        <w:tc>
          <w:tcPr>
            <w:tcW w:w="1114" w:type="pct"/>
            <w:gridSpan w:val="3"/>
            <w:vMerge w:val="continue"/>
            <w:tcBorders>
              <w:top w:val="single" w:color="auto" w:sz="4" w:space="0"/>
              <w:left w:val="single" w:color="auto" w:sz="4" w:space="0"/>
              <w:bottom w:val="single" w:color="000000" w:sz="4" w:space="0"/>
              <w:right w:val="single" w:color="000000"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其中：财政拨款</w:t>
            </w:r>
          </w:p>
        </w:tc>
        <w:tc>
          <w:tcPr>
            <w:tcW w:w="198" w:type="pct"/>
            <w:tcBorders>
              <w:top w:val="single" w:color="auto" w:sz="4" w:space="0"/>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1651" w:type="pct"/>
            <w:gridSpan w:val="5"/>
            <w:tcBorders>
              <w:top w:val="single" w:color="auto" w:sz="4" w:space="0"/>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其中：财政拨款</w:t>
            </w:r>
          </w:p>
        </w:tc>
        <w:tc>
          <w:tcPr>
            <w:tcW w:w="1010" w:type="pct"/>
            <w:gridSpan w:val="2"/>
            <w:tcBorders>
              <w:top w:val="single" w:color="auto" w:sz="4" w:space="0"/>
              <w:left w:val="nil"/>
              <w:bottom w:val="single" w:color="auto" w:sz="4" w:space="0"/>
              <w:right w:val="single" w:color="000000" w:sz="4" w:space="0"/>
            </w:tcBorders>
            <w:vAlign w:val="center"/>
          </w:tcPr>
          <w:p>
            <w:pPr>
              <w:jc w:val="center"/>
              <w:rPr>
                <w:rFonts w:ascii="宋体" w:cs="宋体"/>
                <w:sz w:val="20"/>
                <w:szCs w:val="20"/>
              </w:rPr>
            </w:pPr>
            <w:r>
              <w:rPr>
                <w:rFonts w:hint="eastAsia"/>
                <w:sz w:val="20"/>
                <w:szCs w:val="20"/>
                <w:lang w:val="en-US" w:eastAsia="zh-CN"/>
              </w:rPr>
              <w:t>1800万元</w:t>
            </w:r>
            <w:r>
              <w:rPr>
                <w:rFonts w:hint="eastAsia"/>
                <w:sz w:val="20"/>
                <w:szCs w:val="20"/>
              </w:rPr>
              <w:t>　</w:t>
            </w:r>
          </w:p>
        </w:tc>
      </w:tr>
      <w:tr>
        <w:tblPrEx>
          <w:tblCellMar>
            <w:top w:w="0" w:type="dxa"/>
            <w:left w:w="108" w:type="dxa"/>
            <w:bottom w:w="0" w:type="dxa"/>
            <w:right w:w="108" w:type="dxa"/>
          </w:tblCellMar>
        </w:tblPrEx>
        <w:trPr>
          <w:trHeight w:val="330" w:hRule="atLeast"/>
        </w:trPr>
        <w:tc>
          <w:tcPr>
            <w:tcW w:w="1114" w:type="pct"/>
            <w:gridSpan w:val="3"/>
            <w:vMerge w:val="continue"/>
            <w:tcBorders>
              <w:top w:val="single" w:color="auto" w:sz="4" w:space="0"/>
              <w:left w:val="single" w:color="auto" w:sz="4" w:space="0"/>
              <w:bottom w:val="single" w:color="000000" w:sz="4" w:space="0"/>
              <w:right w:val="single" w:color="000000"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其他资金</w:t>
            </w:r>
          </w:p>
        </w:tc>
        <w:tc>
          <w:tcPr>
            <w:tcW w:w="198" w:type="pct"/>
            <w:tcBorders>
              <w:top w:val="single" w:color="auto" w:sz="4" w:space="0"/>
              <w:left w:val="nil"/>
              <w:bottom w:val="single" w:color="auto" w:sz="4" w:space="0"/>
              <w:right w:val="single" w:color="000000" w:sz="4" w:space="0"/>
            </w:tcBorders>
            <w:vAlign w:val="center"/>
          </w:tcPr>
          <w:p>
            <w:pPr>
              <w:jc w:val="center"/>
              <w:rPr>
                <w:rFonts w:ascii="宋体" w:cs="宋体"/>
                <w:sz w:val="20"/>
                <w:szCs w:val="20"/>
              </w:rPr>
            </w:pPr>
            <w:r>
              <w:rPr>
                <w:rFonts w:hint="eastAsia"/>
                <w:sz w:val="20"/>
                <w:szCs w:val="20"/>
              </w:rPr>
              <w:t>　</w:t>
            </w:r>
          </w:p>
        </w:tc>
        <w:tc>
          <w:tcPr>
            <w:tcW w:w="1651" w:type="pct"/>
            <w:gridSpan w:val="5"/>
            <w:tcBorders>
              <w:top w:val="single" w:color="auto" w:sz="4" w:space="0"/>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其他资金</w:t>
            </w:r>
          </w:p>
        </w:tc>
        <w:tc>
          <w:tcPr>
            <w:tcW w:w="1010" w:type="pct"/>
            <w:gridSpan w:val="2"/>
            <w:tcBorders>
              <w:top w:val="single" w:color="auto" w:sz="4" w:space="0"/>
              <w:left w:val="nil"/>
              <w:bottom w:val="single" w:color="auto" w:sz="4" w:space="0"/>
              <w:right w:val="single" w:color="000000" w:sz="4" w:space="0"/>
            </w:tcBorders>
            <w:vAlign w:val="center"/>
          </w:tcPr>
          <w:p>
            <w:pPr>
              <w:jc w:val="center"/>
              <w:rPr>
                <w:rFonts w:ascii="宋体" w:cs="宋体"/>
                <w:sz w:val="20"/>
                <w:szCs w:val="20"/>
              </w:rPr>
            </w:pPr>
            <w:r>
              <w:rPr>
                <w:rFonts w:hint="eastAsia"/>
                <w:sz w:val="20"/>
                <w:szCs w:val="20"/>
              </w:rPr>
              <w:t>　</w:t>
            </w:r>
          </w:p>
        </w:tc>
      </w:tr>
      <w:tr>
        <w:trPr>
          <w:trHeight w:val="330" w:hRule="atLeast"/>
        </w:trPr>
        <w:tc>
          <w:tcPr>
            <w:tcW w:w="212" w:type="pct"/>
            <w:vMerge w:val="restart"/>
            <w:tcBorders>
              <w:top w:val="nil"/>
              <w:left w:val="single" w:color="auto" w:sz="4" w:space="0"/>
              <w:bottom w:val="single" w:color="auto" w:sz="4" w:space="0"/>
              <w:right w:val="single" w:color="auto" w:sz="4" w:space="0"/>
            </w:tcBorders>
            <w:vAlign w:val="center"/>
          </w:tcPr>
          <w:p>
            <w:pPr>
              <w:jc w:val="center"/>
              <w:rPr>
                <w:rFonts w:ascii="宋体" w:cs="宋体"/>
                <w:sz w:val="20"/>
                <w:szCs w:val="20"/>
              </w:rPr>
            </w:pPr>
            <w:r>
              <w:rPr>
                <w:rFonts w:hint="eastAsia"/>
                <w:sz w:val="20"/>
                <w:szCs w:val="20"/>
              </w:rPr>
              <w:t>总</w:t>
            </w:r>
            <w:r>
              <w:rPr>
                <w:sz w:val="20"/>
                <w:szCs w:val="20"/>
              </w:rPr>
              <w:br w:type="textWrapping"/>
            </w:r>
            <w:r>
              <w:rPr>
                <w:rFonts w:hint="eastAsia"/>
                <w:sz w:val="20"/>
                <w:szCs w:val="20"/>
              </w:rPr>
              <w:t>体</w:t>
            </w:r>
            <w:r>
              <w:rPr>
                <w:sz w:val="20"/>
                <w:szCs w:val="20"/>
              </w:rPr>
              <w:br w:type="textWrapping"/>
            </w:r>
            <w:r>
              <w:rPr>
                <w:rFonts w:hint="eastAsia"/>
                <w:sz w:val="20"/>
                <w:szCs w:val="20"/>
              </w:rPr>
              <w:t>目</w:t>
            </w:r>
            <w:r>
              <w:rPr>
                <w:sz w:val="20"/>
                <w:szCs w:val="20"/>
              </w:rPr>
              <w:br w:type="textWrapping"/>
            </w:r>
            <w:r>
              <w:rPr>
                <w:rFonts w:hint="eastAsia"/>
                <w:sz w:val="20"/>
                <w:szCs w:val="20"/>
              </w:rPr>
              <w:t>标</w:t>
            </w:r>
          </w:p>
        </w:tc>
        <w:tc>
          <w:tcPr>
            <w:tcW w:w="2125" w:type="pct"/>
            <w:gridSpan w:val="4"/>
            <w:tcBorders>
              <w:top w:val="single" w:color="auto" w:sz="4" w:space="0"/>
              <w:left w:val="nil"/>
              <w:bottom w:val="single" w:color="auto" w:sz="4" w:space="0"/>
              <w:right w:val="nil"/>
            </w:tcBorders>
            <w:vAlign w:val="center"/>
          </w:tcPr>
          <w:p>
            <w:pPr>
              <w:jc w:val="center"/>
              <w:rPr>
                <w:rFonts w:ascii="宋体" w:cs="宋体"/>
                <w:sz w:val="20"/>
                <w:szCs w:val="20"/>
              </w:rPr>
            </w:pPr>
            <w:r>
              <w:rPr>
                <w:rFonts w:hint="eastAsia"/>
                <w:sz w:val="20"/>
                <w:szCs w:val="20"/>
              </w:rPr>
              <w:t>中期目标（</w:t>
            </w:r>
            <w:r>
              <w:rPr>
                <w:sz w:val="20"/>
                <w:szCs w:val="20"/>
              </w:rPr>
              <w:t>20</w:t>
            </w:r>
            <w:r>
              <w:rPr>
                <w:rFonts w:hint="eastAsia"/>
                <w:sz w:val="20"/>
                <w:szCs w:val="20"/>
              </w:rPr>
              <w:t>××年</w:t>
            </w:r>
            <w:r>
              <w:rPr>
                <w:sz w:val="20"/>
                <w:szCs w:val="20"/>
              </w:rPr>
              <w:t>—20</w:t>
            </w:r>
            <w:r>
              <w:rPr>
                <w:rFonts w:hint="eastAsia"/>
                <w:sz w:val="20"/>
                <w:szCs w:val="20"/>
              </w:rPr>
              <w:t>××</w:t>
            </w:r>
            <w:r>
              <w:rPr>
                <w:sz w:val="20"/>
                <w:szCs w:val="20"/>
              </w:rPr>
              <w:t>+n</w:t>
            </w:r>
            <w:r>
              <w:rPr>
                <w:rFonts w:hint="eastAsia"/>
                <w:sz w:val="20"/>
                <w:szCs w:val="20"/>
              </w:rPr>
              <w:t>年）</w:t>
            </w:r>
          </w:p>
        </w:tc>
        <w:tc>
          <w:tcPr>
            <w:tcW w:w="2662" w:type="pct"/>
            <w:gridSpan w:val="7"/>
            <w:tcBorders>
              <w:top w:val="single" w:color="auto" w:sz="4" w:space="0"/>
              <w:left w:val="single" w:color="auto" w:sz="4" w:space="0"/>
              <w:bottom w:val="single" w:color="auto" w:sz="4" w:space="0"/>
              <w:right w:val="single" w:color="000000" w:sz="4" w:space="0"/>
            </w:tcBorders>
            <w:vAlign w:val="center"/>
          </w:tcPr>
          <w:p>
            <w:pPr>
              <w:jc w:val="center"/>
              <w:rPr>
                <w:rFonts w:asci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212"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2125" w:type="pct"/>
            <w:gridSpan w:val="4"/>
            <w:tcBorders>
              <w:top w:val="single" w:color="auto" w:sz="4" w:space="0"/>
              <w:left w:val="nil"/>
              <w:bottom w:val="single" w:color="auto" w:sz="4" w:space="0"/>
              <w:right w:val="nil"/>
            </w:tcBorders>
          </w:tcPr>
          <w:p>
            <w:pPr>
              <w:rPr>
                <w:rFonts w:ascii="宋体" w:cs="宋体"/>
                <w:sz w:val="20"/>
                <w:szCs w:val="20"/>
              </w:rPr>
            </w:pPr>
            <w:r>
              <w:rPr>
                <w:sz w:val="20"/>
                <w:szCs w:val="20"/>
              </w:rPr>
              <w:t xml:space="preserve"> </w:t>
            </w:r>
            <w:r>
              <w:rPr>
                <w:rFonts w:hint="eastAsia"/>
                <w:sz w:val="20"/>
                <w:szCs w:val="20"/>
              </w:rPr>
              <w:t>目标</w:t>
            </w:r>
            <w:r>
              <w:rPr>
                <w:sz w:val="20"/>
                <w:szCs w:val="20"/>
              </w:rPr>
              <w:t>1</w:t>
            </w:r>
            <w:r>
              <w:rPr>
                <w:rFonts w:hint="eastAsia"/>
                <w:sz w:val="20"/>
                <w:szCs w:val="20"/>
              </w:rPr>
              <w:t>：</w:t>
            </w:r>
            <w:r>
              <w:rPr>
                <w:sz w:val="20"/>
                <w:szCs w:val="20"/>
              </w:rPr>
              <w:br w:type="textWrapping"/>
            </w:r>
            <w:r>
              <w:rPr>
                <w:sz w:val="20"/>
                <w:szCs w:val="20"/>
              </w:rPr>
              <w:t xml:space="preserve"> </w:t>
            </w:r>
            <w:r>
              <w:rPr>
                <w:rFonts w:hint="eastAsia"/>
                <w:sz w:val="20"/>
                <w:szCs w:val="20"/>
              </w:rPr>
              <w:t>目标</w:t>
            </w:r>
            <w:r>
              <w:rPr>
                <w:sz w:val="20"/>
                <w:szCs w:val="20"/>
              </w:rPr>
              <w:t>2</w:t>
            </w:r>
            <w:r>
              <w:rPr>
                <w:rFonts w:hint="eastAsia"/>
                <w:sz w:val="20"/>
                <w:szCs w:val="20"/>
              </w:rPr>
              <w:t>：</w:t>
            </w:r>
            <w:r>
              <w:rPr>
                <w:sz w:val="20"/>
                <w:szCs w:val="20"/>
              </w:rPr>
              <w:br w:type="textWrapping"/>
            </w:r>
            <w:r>
              <w:rPr>
                <w:sz w:val="20"/>
                <w:szCs w:val="20"/>
              </w:rPr>
              <w:t xml:space="preserve"> </w:t>
            </w:r>
            <w:r>
              <w:rPr>
                <w:rFonts w:hint="eastAsia"/>
                <w:sz w:val="20"/>
                <w:szCs w:val="20"/>
              </w:rPr>
              <w:t>……</w:t>
            </w:r>
          </w:p>
        </w:tc>
        <w:tc>
          <w:tcPr>
            <w:tcW w:w="2662" w:type="pct"/>
            <w:gridSpan w:val="7"/>
            <w:tcBorders>
              <w:top w:val="single" w:color="auto" w:sz="4" w:space="0"/>
              <w:left w:val="single" w:color="auto" w:sz="4" w:space="0"/>
              <w:bottom w:val="single" w:color="auto" w:sz="4" w:space="0"/>
              <w:right w:val="single" w:color="000000" w:sz="4" w:space="0"/>
            </w:tcBorders>
          </w:tcPr>
          <w:p>
            <w:pPr>
              <w:rPr>
                <w:rFonts w:ascii="宋体" w:cs="宋体"/>
                <w:sz w:val="20"/>
                <w:szCs w:val="20"/>
              </w:rPr>
            </w:pPr>
            <w:r>
              <w:rPr>
                <w:sz w:val="20"/>
                <w:szCs w:val="20"/>
              </w:rPr>
              <w:t xml:space="preserve"> </w:t>
            </w:r>
            <w:r>
              <w:rPr>
                <w:rFonts w:hint="eastAsia"/>
                <w:sz w:val="20"/>
                <w:szCs w:val="20"/>
              </w:rPr>
              <w:t xml:space="preserve"> 坚持以人为本，着眼于促进社会公平，完善基本医疗保障体系。城镇居民基本医保参保率达到95%以上；落实城镇居民医保筹资政策，进一步提高筹资标准；新增筹资主要用于提高基本医疗保障水平，政策范围内报销比例稳定在75%左右；普通门诊规定限额内报销比例不低于50%。 </w:t>
            </w:r>
          </w:p>
        </w:tc>
      </w:tr>
      <w:tr>
        <w:tblPrEx>
          <w:tblCellMar>
            <w:top w:w="0" w:type="dxa"/>
            <w:left w:w="108" w:type="dxa"/>
            <w:bottom w:w="0" w:type="dxa"/>
            <w:right w:w="108" w:type="dxa"/>
          </w:tblCellMar>
        </w:tblPrEx>
        <w:trPr>
          <w:trHeight w:val="830" w:hRule="atLeast"/>
        </w:trPr>
        <w:tc>
          <w:tcPr>
            <w:tcW w:w="212" w:type="pct"/>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绩</w:t>
            </w:r>
            <w:r>
              <w:rPr>
                <w:sz w:val="20"/>
                <w:szCs w:val="20"/>
              </w:rPr>
              <w:br w:type="textWrapping"/>
            </w:r>
            <w:r>
              <w:rPr>
                <w:rFonts w:hint="eastAsia"/>
                <w:sz w:val="20"/>
                <w:szCs w:val="20"/>
              </w:rPr>
              <w:t>效</w:t>
            </w:r>
            <w:r>
              <w:rPr>
                <w:sz w:val="20"/>
                <w:szCs w:val="20"/>
              </w:rPr>
              <w:br w:type="textWrapping"/>
            </w:r>
            <w:r>
              <w:rPr>
                <w:rFonts w:hint="eastAsia"/>
                <w:sz w:val="20"/>
                <w:szCs w:val="20"/>
              </w:rPr>
              <w:t>指</w:t>
            </w:r>
            <w:r>
              <w:rPr>
                <w:sz w:val="20"/>
                <w:szCs w:val="20"/>
              </w:rPr>
              <w:br w:type="textWrapping"/>
            </w:r>
            <w:r>
              <w:rPr>
                <w:rFonts w:hint="eastAsia"/>
                <w:sz w:val="20"/>
                <w:szCs w:val="20"/>
              </w:rPr>
              <w:t>标</w:t>
            </w:r>
          </w:p>
        </w:tc>
        <w:tc>
          <w:tcPr>
            <w:tcW w:w="420" w:type="pct"/>
            <w:tcBorders>
              <w:top w:val="nil"/>
              <w:left w:val="nil"/>
              <w:bottom w:val="nil"/>
              <w:right w:val="single" w:color="auto" w:sz="4" w:space="0"/>
            </w:tcBorders>
            <w:vAlign w:val="center"/>
          </w:tcPr>
          <w:p>
            <w:pPr>
              <w:jc w:val="center"/>
              <w:rPr>
                <w:rFonts w:ascii="宋体" w:cs="宋体"/>
                <w:sz w:val="20"/>
                <w:szCs w:val="20"/>
              </w:rPr>
            </w:pPr>
            <w:r>
              <w:rPr>
                <w:rFonts w:hint="eastAsia"/>
                <w:sz w:val="20"/>
                <w:szCs w:val="20"/>
              </w:rPr>
              <w:t>一级</w:t>
            </w:r>
            <w:r>
              <w:rPr>
                <w:sz w:val="20"/>
                <w:szCs w:val="20"/>
              </w:rPr>
              <w:br w:type="textWrapping"/>
            </w:r>
            <w:r>
              <w:rPr>
                <w:rFonts w:hint="eastAsia"/>
                <w:sz w:val="20"/>
                <w:szCs w:val="20"/>
              </w:rPr>
              <w:t>指标</w:t>
            </w:r>
          </w:p>
        </w:tc>
        <w:tc>
          <w:tcPr>
            <w:tcW w:w="482" w:type="pct"/>
            <w:tcBorders>
              <w:top w:val="nil"/>
              <w:left w:val="nil"/>
              <w:bottom w:val="single" w:color="auto" w:sz="4" w:space="0"/>
              <w:right w:val="single" w:color="auto" w:sz="4" w:space="0"/>
            </w:tcBorders>
            <w:vAlign w:val="center"/>
          </w:tcPr>
          <w:p>
            <w:pPr>
              <w:jc w:val="center"/>
              <w:rPr>
                <w:sz w:val="20"/>
                <w:szCs w:val="20"/>
              </w:rPr>
            </w:pPr>
            <w:r>
              <w:rPr>
                <w:rFonts w:hint="eastAsia"/>
                <w:sz w:val="20"/>
                <w:szCs w:val="20"/>
              </w:rPr>
              <w:t>二级</w:t>
            </w:r>
          </w:p>
          <w:p>
            <w:pPr>
              <w:jc w:val="center"/>
              <w:rPr>
                <w:rFonts w:ascii="宋体" w:cs="宋体"/>
                <w:sz w:val="20"/>
                <w:szCs w:val="20"/>
              </w:rPr>
            </w:pPr>
            <w:r>
              <w:rPr>
                <w:rFonts w:hint="eastAsia"/>
                <w:sz w:val="20"/>
                <w:szCs w:val="20"/>
              </w:rPr>
              <w:t>指标</w:t>
            </w:r>
          </w:p>
        </w:tc>
        <w:tc>
          <w:tcPr>
            <w:tcW w:w="1024"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三级指标</w:t>
            </w:r>
          </w:p>
        </w:tc>
        <w:tc>
          <w:tcPr>
            <w:tcW w:w="440" w:type="pct"/>
            <w:gridSpan w:val="2"/>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指标值</w:t>
            </w:r>
          </w:p>
        </w:tc>
        <w:tc>
          <w:tcPr>
            <w:tcW w:w="138"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绩效标准</w:t>
            </w:r>
          </w:p>
        </w:tc>
        <w:tc>
          <w:tcPr>
            <w:tcW w:w="406" w:type="pct"/>
            <w:tcBorders>
              <w:top w:val="nil"/>
              <w:left w:val="nil"/>
              <w:bottom w:val="single" w:color="auto" w:sz="4" w:space="0"/>
              <w:right w:val="single" w:color="auto" w:sz="4" w:space="0"/>
            </w:tcBorders>
            <w:vAlign w:val="center"/>
          </w:tcPr>
          <w:p>
            <w:pPr>
              <w:jc w:val="center"/>
              <w:rPr>
                <w:sz w:val="20"/>
                <w:szCs w:val="20"/>
              </w:rPr>
            </w:pPr>
            <w:r>
              <w:rPr>
                <w:rFonts w:hint="eastAsia"/>
                <w:sz w:val="20"/>
                <w:szCs w:val="20"/>
              </w:rPr>
              <w:t>二级</w:t>
            </w:r>
          </w:p>
          <w:p>
            <w:pPr>
              <w:jc w:val="center"/>
              <w:rPr>
                <w:rFonts w:ascii="宋体" w:cs="宋体"/>
                <w:sz w:val="20"/>
                <w:szCs w:val="20"/>
              </w:rPr>
            </w:pPr>
            <w:r>
              <w:rPr>
                <w:rFonts w:hint="eastAsia"/>
                <w:sz w:val="20"/>
                <w:szCs w:val="20"/>
              </w:rPr>
              <w:t>指标</w:t>
            </w:r>
          </w:p>
        </w:tc>
        <w:tc>
          <w:tcPr>
            <w:tcW w:w="461" w:type="pct"/>
            <w:tcBorders>
              <w:top w:val="nil"/>
              <w:left w:val="nil"/>
              <w:bottom w:val="single" w:color="auto" w:sz="4" w:space="0"/>
              <w:right w:val="nil"/>
            </w:tcBorders>
            <w:vAlign w:val="center"/>
          </w:tcPr>
          <w:p>
            <w:pPr>
              <w:jc w:val="center"/>
              <w:rPr>
                <w:rFonts w:ascii="宋体" w:cs="宋体"/>
                <w:sz w:val="20"/>
                <w:szCs w:val="20"/>
              </w:rPr>
            </w:pPr>
            <w:r>
              <w:rPr>
                <w:rFonts w:hint="eastAsia"/>
                <w:sz w:val="20"/>
                <w:szCs w:val="20"/>
              </w:rPr>
              <w:t>三级指标</w:t>
            </w:r>
          </w:p>
        </w:tc>
        <w:tc>
          <w:tcPr>
            <w:tcW w:w="1083" w:type="pct"/>
            <w:gridSpan w:val="2"/>
            <w:tcBorders>
              <w:top w:val="nil"/>
              <w:left w:val="single" w:color="auto" w:sz="4" w:space="0"/>
              <w:bottom w:val="single" w:color="auto" w:sz="4" w:space="0"/>
              <w:right w:val="single" w:color="auto" w:sz="4" w:space="0"/>
            </w:tcBorders>
            <w:vAlign w:val="center"/>
          </w:tcPr>
          <w:p>
            <w:pPr>
              <w:jc w:val="center"/>
              <w:rPr>
                <w:rFonts w:ascii="宋体" w:cs="宋体"/>
                <w:sz w:val="20"/>
                <w:szCs w:val="20"/>
              </w:rPr>
            </w:pPr>
            <w:r>
              <w:rPr>
                <w:rFonts w:hint="eastAsia"/>
                <w:sz w:val="20"/>
                <w:szCs w:val="20"/>
              </w:rPr>
              <w:t>指标值</w:t>
            </w:r>
          </w:p>
        </w:tc>
        <w:tc>
          <w:tcPr>
            <w:tcW w:w="330"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restart"/>
            <w:tcBorders>
              <w:top w:val="single" w:color="auto" w:sz="4" w:space="0"/>
              <w:left w:val="single" w:color="auto" w:sz="4" w:space="0"/>
              <w:bottom w:val="single" w:color="auto" w:sz="4" w:space="0"/>
              <w:right w:val="single" w:color="auto" w:sz="4" w:space="0"/>
            </w:tcBorders>
            <w:vAlign w:val="center"/>
          </w:tcPr>
          <w:p>
            <w:pPr>
              <w:jc w:val="center"/>
              <w:rPr>
                <w:rFonts w:ascii="宋体" w:cs="宋体"/>
                <w:sz w:val="20"/>
                <w:szCs w:val="20"/>
              </w:rPr>
            </w:pPr>
            <w:r>
              <w:rPr>
                <w:rFonts w:hint="eastAsia"/>
                <w:sz w:val="20"/>
                <w:szCs w:val="20"/>
              </w:rPr>
              <w:t>产</w:t>
            </w:r>
            <w:r>
              <w:rPr>
                <w:sz w:val="20"/>
                <w:szCs w:val="20"/>
              </w:rPr>
              <w:br w:type="textWrapping"/>
            </w:r>
            <w:r>
              <w:rPr>
                <w:rFonts w:hint="eastAsia"/>
                <w:sz w:val="20"/>
                <w:szCs w:val="20"/>
              </w:rPr>
              <w:t>出</w:t>
            </w:r>
            <w:r>
              <w:rPr>
                <w:sz w:val="20"/>
                <w:szCs w:val="20"/>
              </w:rPr>
              <w:br w:type="textWrapping"/>
            </w:r>
            <w:r>
              <w:rPr>
                <w:rFonts w:hint="eastAsia"/>
                <w:sz w:val="20"/>
                <w:szCs w:val="20"/>
              </w:rPr>
              <w:t>指</w:t>
            </w:r>
            <w:r>
              <w:rPr>
                <w:sz w:val="20"/>
                <w:szCs w:val="20"/>
              </w:rPr>
              <w:br w:type="textWrapping"/>
            </w:r>
            <w:r>
              <w:rPr>
                <w:rFonts w:hint="eastAsia"/>
                <w:sz w:val="20"/>
                <w:szCs w:val="20"/>
              </w:rPr>
              <w:t>标</w:t>
            </w:r>
          </w:p>
        </w:tc>
        <w:tc>
          <w:tcPr>
            <w:tcW w:w="482"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数量</w:t>
            </w:r>
          </w:p>
          <w:p>
            <w:pPr>
              <w:jc w:val="center"/>
              <w:rPr>
                <w:rFonts w:ascii="宋体" w:cs="宋体"/>
                <w:sz w:val="20"/>
                <w:szCs w:val="20"/>
              </w:rPr>
            </w:pPr>
            <w:r>
              <w:rPr>
                <w:rFonts w:hint="eastAsia"/>
                <w:sz w:val="20"/>
                <w:szCs w:val="20"/>
              </w:rPr>
              <w:t>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数量</w:t>
            </w:r>
          </w:p>
          <w:p>
            <w:pPr>
              <w:jc w:val="center"/>
              <w:rPr>
                <w:rFonts w:ascii="宋体" w:cs="宋体"/>
                <w:sz w:val="20"/>
                <w:szCs w:val="20"/>
              </w:rPr>
            </w:pPr>
            <w:r>
              <w:rPr>
                <w:rFonts w:hint="eastAsia"/>
                <w:sz w:val="20"/>
                <w:szCs w:val="20"/>
              </w:rPr>
              <w:t>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指标1：全面实现城乡居民基本医疗保险制度整合统一，参保率达到95%以上。</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质量</w:t>
            </w:r>
          </w:p>
          <w:p>
            <w:pPr>
              <w:jc w:val="center"/>
              <w:rPr>
                <w:rFonts w:ascii="宋体" w:cs="宋体"/>
                <w:sz w:val="20"/>
                <w:szCs w:val="20"/>
              </w:rPr>
            </w:pPr>
            <w:r>
              <w:rPr>
                <w:rFonts w:hint="eastAsia"/>
                <w:sz w:val="20"/>
                <w:szCs w:val="20"/>
              </w:rPr>
              <w:t>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质量</w:t>
            </w:r>
          </w:p>
          <w:p>
            <w:pPr>
              <w:jc w:val="center"/>
              <w:rPr>
                <w:rFonts w:ascii="宋体" w:cs="宋体"/>
                <w:sz w:val="20"/>
                <w:szCs w:val="20"/>
              </w:rPr>
            </w:pPr>
            <w:r>
              <w:rPr>
                <w:rFonts w:hint="eastAsia"/>
                <w:sz w:val="20"/>
                <w:szCs w:val="20"/>
              </w:rPr>
              <w:t>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指标1：政策范围内住院费用稳定在75%左右，住院费用实际支付比例不低于56%</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时效</w:t>
            </w:r>
          </w:p>
          <w:p>
            <w:pPr>
              <w:jc w:val="center"/>
              <w:rPr>
                <w:rFonts w:ascii="宋体" w:cs="宋体"/>
                <w:sz w:val="20"/>
                <w:szCs w:val="20"/>
              </w:rPr>
            </w:pPr>
            <w:r>
              <w:rPr>
                <w:rFonts w:hint="eastAsia"/>
                <w:sz w:val="20"/>
                <w:szCs w:val="20"/>
              </w:rPr>
              <w:t>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时效</w:t>
            </w:r>
          </w:p>
          <w:p>
            <w:pPr>
              <w:jc w:val="center"/>
              <w:rPr>
                <w:rFonts w:ascii="宋体" w:cs="宋体"/>
                <w:sz w:val="20"/>
                <w:szCs w:val="20"/>
              </w:rPr>
            </w:pPr>
            <w:r>
              <w:rPr>
                <w:rFonts w:hint="eastAsia"/>
                <w:sz w:val="20"/>
                <w:szCs w:val="20"/>
              </w:rPr>
              <w:t>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指标1：2022年当年完成</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成本</w:t>
            </w:r>
          </w:p>
          <w:p>
            <w:pPr>
              <w:jc w:val="center"/>
              <w:rPr>
                <w:rFonts w:ascii="宋体" w:cs="宋体"/>
                <w:sz w:val="20"/>
                <w:szCs w:val="20"/>
              </w:rPr>
            </w:pPr>
            <w:r>
              <w:rPr>
                <w:rFonts w:hint="eastAsia"/>
                <w:sz w:val="20"/>
                <w:szCs w:val="20"/>
              </w:rPr>
              <w:t>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成本</w:t>
            </w:r>
          </w:p>
          <w:p>
            <w:pPr>
              <w:jc w:val="center"/>
              <w:rPr>
                <w:rFonts w:ascii="宋体" w:cs="宋体"/>
                <w:sz w:val="20"/>
                <w:szCs w:val="20"/>
              </w:rPr>
            </w:pPr>
            <w:r>
              <w:rPr>
                <w:rFonts w:hint="eastAsia"/>
                <w:sz w:val="20"/>
                <w:szCs w:val="20"/>
              </w:rPr>
              <w:t>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指标1：2022年预计需要1800万元</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single" w:color="auto" w:sz="4" w:space="0"/>
              <w:left w:val="single" w:color="auto" w:sz="4" w:space="0"/>
              <w:bottom w:val="single" w:color="auto" w:sz="4" w:space="0"/>
              <w:right w:val="single" w:color="auto" w:sz="4" w:space="0"/>
            </w:tcBorders>
            <w:vAlign w:val="center"/>
          </w:tcPr>
          <w:p>
            <w:pPr>
              <w:rPr>
                <w:rFonts w:ascii="宋体" w:cs="宋体"/>
                <w:sz w:val="20"/>
                <w:szCs w:val="20"/>
              </w:rPr>
            </w:pPr>
          </w:p>
        </w:tc>
        <w:tc>
          <w:tcPr>
            <w:tcW w:w="482"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40" w:type="pct"/>
            <w:gridSpan w:val="2"/>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406"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restart"/>
            <w:tcBorders>
              <w:top w:val="nil"/>
              <w:left w:val="single" w:color="auto" w:sz="4" w:space="0"/>
              <w:bottom w:val="single" w:color="auto" w:sz="4" w:space="0"/>
              <w:right w:val="single" w:color="auto" w:sz="4" w:space="0"/>
            </w:tcBorders>
            <w:vAlign w:val="center"/>
          </w:tcPr>
          <w:p>
            <w:pPr>
              <w:jc w:val="center"/>
              <w:rPr>
                <w:rFonts w:ascii="宋体" w:cs="宋体"/>
                <w:sz w:val="20"/>
                <w:szCs w:val="20"/>
              </w:rPr>
            </w:pPr>
            <w:r>
              <w:rPr>
                <w:rFonts w:hint="eastAsia"/>
                <w:sz w:val="20"/>
                <w:szCs w:val="20"/>
              </w:rPr>
              <w:t>效</w:t>
            </w:r>
            <w:r>
              <w:rPr>
                <w:sz w:val="20"/>
                <w:szCs w:val="20"/>
              </w:rPr>
              <w:br w:type="textWrapping"/>
            </w:r>
            <w:r>
              <w:rPr>
                <w:rFonts w:hint="eastAsia"/>
                <w:sz w:val="20"/>
                <w:szCs w:val="20"/>
              </w:rPr>
              <w:t>益</w:t>
            </w:r>
            <w:r>
              <w:rPr>
                <w:sz w:val="20"/>
                <w:szCs w:val="20"/>
              </w:rPr>
              <w:br w:type="textWrapping"/>
            </w:r>
            <w:r>
              <w:rPr>
                <w:rFonts w:hint="eastAsia"/>
                <w:sz w:val="20"/>
                <w:szCs w:val="20"/>
              </w:rPr>
              <w:t>指</w:t>
            </w:r>
            <w:r>
              <w:rPr>
                <w:sz w:val="20"/>
                <w:szCs w:val="20"/>
              </w:rPr>
              <w:br w:type="textWrapping"/>
            </w:r>
            <w:r>
              <w:rPr>
                <w:rFonts w:hint="eastAsia"/>
                <w:sz w:val="20"/>
                <w:szCs w:val="20"/>
              </w:rPr>
              <w:t>标</w:t>
            </w:r>
          </w:p>
        </w:tc>
        <w:tc>
          <w:tcPr>
            <w:tcW w:w="482" w:type="pct"/>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经济效益指标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经济效</w:t>
            </w:r>
          </w:p>
          <w:p>
            <w:pPr>
              <w:jc w:val="center"/>
              <w:rPr>
                <w:rFonts w:ascii="宋体" w:cs="宋体"/>
                <w:sz w:val="20"/>
                <w:szCs w:val="20"/>
              </w:rPr>
            </w:pPr>
            <w:r>
              <w:rPr>
                <w:rFonts w:hint="eastAsia"/>
                <w:sz w:val="20"/>
                <w:szCs w:val="20"/>
              </w:rPr>
              <w:t>益指标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社会效益指标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社会效</w:t>
            </w:r>
          </w:p>
          <w:p>
            <w:pPr>
              <w:jc w:val="center"/>
              <w:rPr>
                <w:rFonts w:ascii="宋体" w:cs="宋体"/>
                <w:sz w:val="20"/>
                <w:szCs w:val="20"/>
              </w:rPr>
            </w:pPr>
            <w:r>
              <w:rPr>
                <w:rFonts w:hint="eastAsia"/>
                <w:sz w:val="20"/>
                <w:szCs w:val="20"/>
              </w:rPr>
              <w:t>益指标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hint="eastAsia"/>
                <w:sz w:val="20"/>
                <w:szCs w:val="20"/>
              </w:rPr>
            </w:pPr>
            <w:r>
              <w:rPr>
                <w:rFonts w:hint="eastAsia"/>
                <w:sz w:val="20"/>
                <w:szCs w:val="20"/>
              </w:rPr>
              <w:t>指标1：通过城乡居民基本医疗项目实施，有效缓解居民看病贵和因病致贫问题，</w:t>
            </w:r>
          </w:p>
          <w:p>
            <w:pPr>
              <w:rPr>
                <w:rFonts w:ascii="宋体" w:cs="宋体"/>
                <w:sz w:val="20"/>
                <w:szCs w:val="20"/>
              </w:rPr>
            </w:pPr>
            <w:r>
              <w:rPr>
                <w:rFonts w:hint="eastAsia"/>
                <w:sz w:val="20"/>
                <w:szCs w:val="20"/>
              </w:rPr>
              <w:t>一定程度上促进社会和谐稳定等成效显著。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生态效益指标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生态效益指标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可持续影响</w:t>
            </w:r>
            <w:r>
              <w:rPr>
                <w:sz w:val="20"/>
                <w:szCs w:val="20"/>
              </w:rPr>
              <w:br w:type="textWrapping"/>
            </w:r>
            <w:r>
              <w:rPr>
                <w:rFonts w:hint="eastAsia"/>
                <w:sz w:val="20"/>
                <w:szCs w:val="20"/>
              </w:rPr>
              <w:t>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cs="宋体"/>
                <w:sz w:val="20"/>
                <w:szCs w:val="20"/>
              </w:rPr>
            </w:pPr>
            <w:r>
              <w:rPr>
                <w:rFonts w:hint="eastAsia"/>
                <w:sz w:val="20"/>
                <w:szCs w:val="20"/>
              </w:rPr>
              <w:t>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hint="eastAsia"/>
                <w:sz w:val="20"/>
                <w:szCs w:val="20"/>
              </w:rPr>
            </w:pPr>
            <w:r>
              <w:rPr>
                <w:rFonts w:hint="eastAsia"/>
                <w:sz w:val="20"/>
                <w:szCs w:val="20"/>
              </w:rPr>
              <w:t>　指标1：持续通过城乡居民基本医疗项目实施，</w:t>
            </w:r>
          </w:p>
          <w:p>
            <w:pPr>
              <w:rPr>
                <w:rFonts w:ascii="宋体" w:cs="宋体"/>
                <w:sz w:val="20"/>
                <w:szCs w:val="20"/>
              </w:rPr>
            </w:pPr>
            <w:r>
              <w:rPr>
                <w:rFonts w:hint="eastAsia"/>
                <w:sz w:val="20"/>
                <w:szCs w:val="20"/>
              </w:rPr>
              <w:t>有效缓解居民看病贵和因病致贫问题，</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auto" w:sz="4" w:space="0"/>
              <w:right w:val="single" w:color="auto" w:sz="4" w:space="0"/>
            </w:tcBorders>
            <w:vAlign w:val="center"/>
          </w:tcPr>
          <w:p>
            <w:pPr>
              <w:rPr>
                <w:rFonts w:ascii="宋体" w:cs="宋体"/>
                <w:sz w:val="20"/>
                <w:szCs w:val="20"/>
              </w:rPr>
            </w:pPr>
          </w:p>
        </w:tc>
        <w:tc>
          <w:tcPr>
            <w:tcW w:w="482"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40"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06"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w:t>
            </w:r>
          </w:p>
        </w:tc>
        <w:tc>
          <w:tcPr>
            <w:tcW w:w="461" w:type="pct"/>
            <w:tcBorders>
              <w:top w:val="nil"/>
              <w:left w:val="nil"/>
              <w:bottom w:val="single" w:color="auto" w:sz="4" w:space="0"/>
              <w:right w:val="nil"/>
            </w:tcBorders>
            <w:vAlign w:val="center"/>
          </w:tcPr>
          <w:p>
            <w:pPr>
              <w:rPr>
                <w:rFonts w:ascii="宋体" w:cs="宋体"/>
                <w:sz w:val="20"/>
                <w:szCs w:val="20"/>
              </w:rPr>
            </w:pPr>
            <w:r>
              <w:rPr>
                <w:rFonts w:hint="eastAsia"/>
                <w:sz w:val="20"/>
                <w:szCs w:val="20"/>
              </w:rPr>
              <w:t>　</w:t>
            </w:r>
          </w:p>
        </w:tc>
        <w:tc>
          <w:tcPr>
            <w:tcW w:w="1083" w:type="pct"/>
            <w:gridSpan w:val="2"/>
            <w:tcBorders>
              <w:top w:val="nil"/>
              <w:left w:val="single" w:color="auto" w:sz="4" w:space="0"/>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满意度指标</w:t>
            </w:r>
          </w:p>
        </w:tc>
        <w:tc>
          <w:tcPr>
            <w:tcW w:w="482" w:type="pct"/>
            <w:vMerge w:val="restart"/>
            <w:tcBorders>
              <w:top w:val="nil"/>
              <w:left w:val="single" w:color="auto" w:sz="4" w:space="0"/>
              <w:bottom w:val="single" w:color="000000" w:sz="4" w:space="0"/>
              <w:right w:val="single" w:color="auto" w:sz="4" w:space="0"/>
            </w:tcBorders>
            <w:vAlign w:val="center"/>
          </w:tcPr>
          <w:p>
            <w:pPr>
              <w:jc w:val="center"/>
              <w:rPr>
                <w:rFonts w:ascii="宋体" w:cs="宋体"/>
                <w:sz w:val="20"/>
                <w:szCs w:val="20"/>
              </w:rPr>
            </w:pPr>
            <w:r>
              <w:rPr>
                <w:rFonts w:hint="eastAsia"/>
                <w:sz w:val="20"/>
                <w:szCs w:val="20"/>
              </w:rPr>
              <w:t>服务对象满意度指标</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406" w:type="pct"/>
            <w:vMerge w:val="restart"/>
            <w:tcBorders>
              <w:top w:val="nil"/>
              <w:left w:val="single" w:color="auto" w:sz="4" w:space="0"/>
              <w:bottom w:val="single" w:color="000000" w:sz="4" w:space="0"/>
              <w:right w:val="single" w:color="auto" w:sz="4" w:space="0"/>
            </w:tcBorders>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cs="宋体"/>
                <w:sz w:val="20"/>
                <w:szCs w:val="20"/>
              </w:rPr>
            </w:pPr>
            <w:r>
              <w:rPr>
                <w:rFonts w:hint="eastAsia"/>
                <w:sz w:val="20"/>
                <w:szCs w:val="20"/>
              </w:rPr>
              <w:t>度指标</w:t>
            </w: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指标</w:t>
            </w:r>
            <w:r>
              <w:rPr>
                <w:sz w:val="20"/>
                <w:szCs w:val="20"/>
              </w:rPr>
              <w:t>1</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hint="eastAsia"/>
                <w:sz w:val="20"/>
                <w:szCs w:val="20"/>
              </w:rPr>
            </w:pPr>
            <w:r>
              <w:rPr>
                <w:rFonts w:hint="eastAsia"/>
                <w:sz w:val="20"/>
                <w:szCs w:val="20"/>
              </w:rPr>
              <w:t>指标1：通过 随机问卷调查、电话访问、现场走访等形式，</w:t>
            </w:r>
          </w:p>
          <w:p>
            <w:pPr>
              <w:rPr>
                <w:rFonts w:ascii="宋体" w:cs="宋体"/>
                <w:sz w:val="20"/>
                <w:szCs w:val="20"/>
              </w:rPr>
            </w:pPr>
            <w:r>
              <w:rPr>
                <w:rFonts w:hint="eastAsia"/>
                <w:sz w:val="20"/>
                <w:szCs w:val="20"/>
              </w:rPr>
              <w:t>对社会公众、受益对象满意度进行调查，达到70%。</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8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440" w:type="pct"/>
            <w:gridSpan w:val="2"/>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406"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61" w:type="pct"/>
            <w:tcBorders>
              <w:top w:val="nil"/>
              <w:left w:val="nil"/>
              <w:bottom w:val="single" w:color="auto" w:sz="4" w:space="0"/>
              <w:right w:val="single" w:color="auto" w:sz="4" w:space="0"/>
            </w:tcBorders>
            <w:vAlign w:val="center"/>
          </w:tcPr>
          <w:p>
            <w:pPr>
              <w:rPr>
                <w:rFonts w:ascii="宋体" w:cs="宋体"/>
                <w:sz w:val="20"/>
                <w:szCs w:val="20"/>
              </w:rPr>
            </w:pPr>
            <w:r>
              <w:rPr>
                <w:sz w:val="20"/>
                <w:szCs w:val="20"/>
              </w:rPr>
              <w:t xml:space="preserve"> </w:t>
            </w:r>
            <w:r>
              <w:rPr>
                <w:rFonts w:hint="eastAsia"/>
                <w:sz w:val="20"/>
                <w:szCs w:val="20"/>
              </w:rPr>
              <w:t>……</w:t>
            </w:r>
          </w:p>
        </w:tc>
        <w:tc>
          <w:tcPr>
            <w:tcW w:w="1083" w:type="pct"/>
            <w:gridSpan w:val="2"/>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212"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20" w:type="pct"/>
            <w:vMerge w:val="continue"/>
            <w:tcBorders>
              <w:top w:val="nil"/>
              <w:left w:val="single" w:color="auto" w:sz="4" w:space="0"/>
              <w:bottom w:val="single" w:color="000000" w:sz="4" w:space="0"/>
              <w:right w:val="single" w:color="auto" w:sz="4" w:space="0"/>
            </w:tcBorders>
            <w:vAlign w:val="center"/>
          </w:tcPr>
          <w:p>
            <w:pPr>
              <w:rPr>
                <w:rFonts w:ascii="宋体" w:cs="宋体"/>
                <w:sz w:val="20"/>
                <w:szCs w:val="20"/>
              </w:rPr>
            </w:pPr>
          </w:p>
        </w:tc>
        <w:tc>
          <w:tcPr>
            <w:tcW w:w="482"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w:t>
            </w:r>
          </w:p>
        </w:tc>
        <w:tc>
          <w:tcPr>
            <w:tcW w:w="1024"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440" w:type="pct"/>
            <w:gridSpan w:val="2"/>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138"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　</w:t>
            </w:r>
          </w:p>
        </w:tc>
        <w:tc>
          <w:tcPr>
            <w:tcW w:w="406" w:type="pct"/>
            <w:tcBorders>
              <w:top w:val="nil"/>
              <w:left w:val="nil"/>
              <w:bottom w:val="single" w:color="auto" w:sz="4" w:space="0"/>
              <w:right w:val="single" w:color="auto" w:sz="4" w:space="0"/>
            </w:tcBorders>
            <w:vAlign w:val="center"/>
          </w:tcPr>
          <w:p>
            <w:pPr>
              <w:jc w:val="center"/>
              <w:rPr>
                <w:rFonts w:ascii="宋体" w:cs="宋体"/>
                <w:sz w:val="20"/>
                <w:szCs w:val="20"/>
              </w:rPr>
            </w:pPr>
            <w:r>
              <w:rPr>
                <w:rFonts w:hint="eastAsia"/>
                <w:sz w:val="20"/>
                <w:szCs w:val="20"/>
              </w:rPr>
              <w:t>……</w:t>
            </w:r>
          </w:p>
        </w:tc>
        <w:tc>
          <w:tcPr>
            <w:tcW w:w="461" w:type="pct"/>
            <w:tcBorders>
              <w:top w:val="nil"/>
              <w:left w:val="nil"/>
              <w:bottom w:val="single" w:color="auto" w:sz="4" w:space="0"/>
              <w:right w:val="nil"/>
            </w:tcBorders>
            <w:vAlign w:val="center"/>
          </w:tcPr>
          <w:p>
            <w:pPr>
              <w:rPr>
                <w:rFonts w:ascii="宋体" w:cs="宋体"/>
                <w:sz w:val="20"/>
                <w:szCs w:val="20"/>
              </w:rPr>
            </w:pPr>
            <w:r>
              <w:rPr>
                <w:rFonts w:hint="eastAsia"/>
                <w:sz w:val="20"/>
                <w:szCs w:val="20"/>
              </w:rPr>
              <w:t>　</w:t>
            </w:r>
          </w:p>
        </w:tc>
        <w:tc>
          <w:tcPr>
            <w:tcW w:w="1083" w:type="pct"/>
            <w:gridSpan w:val="2"/>
            <w:tcBorders>
              <w:top w:val="nil"/>
              <w:left w:val="single" w:color="auto" w:sz="4" w:space="0"/>
              <w:bottom w:val="single" w:color="auto" w:sz="4" w:space="0"/>
              <w:right w:val="single" w:color="auto" w:sz="4" w:space="0"/>
            </w:tcBorders>
            <w:vAlign w:val="center"/>
          </w:tcPr>
          <w:p>
            <w:pPr>
              <w:rPr>
                <w:rFonts w:ascii="宋体" w:cs="宋体"/>
                <w:sz w:val="20"/>
                <w:szCs w:val="20"/>
              </w:rPr>
            </w:pPr>
            <w:r>
              <w:rPr>
                <w:rFonts w:hint="eastAsia"/>
                <w:sz w:val="20"/>
                <w:szCs w:val="20"/>
              </w:rPr>
              <w:t>　</w:t>
            </w:r>
          </w:p>
        </w:tc>
        <w:tc>
          <w:tcPr>
            <w:tcW w:w="330" w:type="pct"/>
            <w:tcBorders>
              <w:top w:val="nil"/>
              <w:left w:val="nil"/>
              <w:bottom w:val="single" w:color="auto" w:sz="4" w:space="0"/>
              <w:right w:val="single" w:color="auto" w:sz="4" w:space="0"/>
            </w:tcBorders>
            <w:vAlign w:val="center"/>
          </w:tcPr>
          <w:p>
            <w:pPr>
              <w:rPr>
                <w:rFonts w:ascii="宋体" w:cs="宋体"/>
                <w:sz w:val="20"/>
                <w:szCs w:val="20"/>
              </w:rPr>
            </w:pPr>
            <w:r>
              <w:rPr>
                <w:rFonts w:hint="eastAsia"/>
                <w:sz w:val="20"/>
                <w:szCs w:val="20"/>
              </w:rPr>
              <w:t>　</w:t>
            </w:r>
          </w:p>
        </w:tc>
      </w:tr>
    </w:tbl>
    <w:p>
      <w:pPr>
        <w:adjustRightInd w:val="0"/>
        <w:snapToGrid w:val="0"/>
        <w:spacing w:line="60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（二）机关运行经费。</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cs="宋体"/>
          <w:kern w:val="0"/>
          <w:sz w:val="32"/>
          <w:szCs w:val="32"/>
          <w:lang w:eastAsia="zh-CN"/>
        </w:rPr>
        <w:t>淮南市医疗保障局</w:t>
      </w:r>
      <w:r>
        <w:rPr>
          <w:rFonts w:ascii="仿宋_GB2312" w:hAnsi="仿宋" w:eastAsia="仿宋_GB2312"/>
          <w:sz w:val="32"/>
          <w:szCs w:val="32"/>
        </w:rPr>
        <w:t>2022</w:t>
      </w:r>
      <w:r>
        <w:rPr>
          <w:rFonts w:hint="eastAsia" w:ascii="仿宋_GB2312" w:hAnsi="仿宋" w:eastAsia="仿宋_GB2312"/>
          <w:sz w:val="32"/>
          <w:szCs w:val="32"/>
        </w:rPr>
        <w:t>年机关运行经费财政拨款预算</w:t>
      </w:r>
      <w:r>
        <w:rPr>
          <w:rFonts w:hint="eastAsia" w:ascii="仿宋_GB2312" w:hAnsi="仿宋" w:eastAsia="仿宋_GB2312"/>
          <w:sz w:val="32"/>
          <w:szCs w:val="32"/>
          <w:lang w:val="en-US" w:eastAsia="zh-CN"/>
        </w:rPr>
        <w:t>72.99</w:t>
      </w:r>
      <w:r>
        <w:rPr>
          <w:rFonts w:hint="eastAsia" w:ascii="仿宋_GB2312" w:hAnsi="仿宋" w:eastAsia="仿宋_GB2312"/>
          <w:sz w:val="32"/>
          <w:szCs w:val="32"/>
        </w:rPr>
        <w:t>万元，比</w:t>
      </w:r>
      <w:r>
        <w:rPr>
          <w:rFonts w:ascii="仿宋_GB2312" w:hAnsi="仿宋" w:eastAsia="仿宋_GB2312"/>
          <w:sz w:val="32"/>
          <w:szCs w:val="32"/>
        </w:rPr>
        <w:t>2021</w:t>
      </w:r>
      <w:r>
        <w:rPr>
          <w:rFonts w:hint="eastAsia" w:ascii="仿宋_GB2312" w:hAnsi="仿宋" w:eastAsia="仿宋_GB2312"/>
          <w:sz w:val="32"/>
          <w:szCs w:val="32"/>
        </w:rPr>
        <w:t>年预算增加减少</w:t>
      </w:r>
      <w:r>
        <w:rPr>
          <w:rFonts w:hint="eastAsia" w:ascii="仿宋_GB2312" w:hAnsi="仿宋" w:eastAsia="仿宋_GB2312"/>
          <w:sz w:val="32"/>
          <w:szCs w:val="32"/>
          <w:lang w:val="en-US" w:eastAsia="zh-CN"/>
        </w:rPr>
        <w:t>0.54</w:t>
      </w:r>
      <w:r>
        <w:rPr>
          <w:rFonts w:hint="eastAsia" w:ascii="仿宋_GB2312" w:hAnsi="仿宋" w:eastAsia="仿宋_GB2312"/>
          <w:sz w:val="32"/>
          <w:szCs w:val="32"/>
        </w:rPr>
        <w:t>万元，下降</w:t>
      </w:r>
      <w:r>
        <w:rPr>
          <w:rFonts w:hint="eastAsia" w:ascii="仿宋_GB2312" w:hAnsi="仿宋" w:eastAsia="仿宋_GB2312"/>
          <w:sz w:val="32"/>
          <w:szCs w:val="32"/>
          <w:lang w:val="en-US" w:eastAsia="zh-CN"/>
        </w:rPr>
        <w:t>0.73</w:t>
      </w:r>
      <w:r>
        <w:rPr>
          <w:rFonts w:ascii="仿宋_GB2312" w:hAnsi="仿宋" w:eastAsia="仿宋_GB2312"/>
          <w:sz w:val="32"/>
          <w:szCs w:val="32"/>
        </w:rPr>
        <w:t>%</w:t>
      </w:r>
      <w:r>
        <w:rPr>
          <w:rFonts w:hint="eastAsia" w:ascii="仿宋_GB2312" w:hAnsi="仿宋" w:eastAsia="仿宋_GB2312"/>
          <w:sz w:val="32"/>
          <w:szCs w:val="32"/>
        </w:rPr>
        <w:t>，下降主要原因是办公费</w:t>
      </w:r>
      <w:r>
        <w:rPr>
          <w:rFonts w:hint="eastAsia" w:ascii="仿宋_GB2312" w:hAnsi="仿宋" w:eastAsia="仿宋_GB2312"/>
          <w:sz w:val="32"/>
          <w:szCs w:val="32"/>
          <w:lang w:eastAsia="zh-CN"/>
        </w:rPr>
        <w:t>支出减少</w:t>
      </w:r>
      <w:r>
        <w:rPr>
          <w:rFonts w:hint="eastAsia" w:ascii="仿宋_GB2312" w:hAnsi="仿宋" w:eastAsia="仿宋_GB2312"/>
          <w:sz w:val="32"/>
          <w:szCs w:val="32"/>
        </w:rPr>
        <w:t>。</w:t>
      </w:r>
    </w:p>
    <w:p>
      <w:pPr>
        <w:adjustRightInd w:val="0"/>
        <w:snapToGrid w:val="0"/>
        <w:spacing w:line="60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（三）政府采购情况。</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仿宋" w:eastAsia="仿宋_GB2312" w:cs="宋体"/>
          <w:kern w:val="0"/>
          <w:sz w:val="32"/>
          <w:szCs w:val="32"/>
          <w:lang w:eastAsia="zh-CN"/>
        </w:rPr>
        <w:t>淮南市医疗保障局</w:t>
      </w:r>
      <w:r>
        <w:rPr>
          <w:rFonts w:ascii="仿宋_GB2312" w:hAnsi="楷体" w:eastAsia="仿宋_GB2312"/>
          <w:sz w:val="32"/>
          <w:szCs w:val="32"/>
        </w:rPr>
        <w:t>2022</w:t>
      </w:r>
      <w:r>
        <w:rPr>
          <w:rFonts w:hint="eastAsia" w:ascii="仿宋_GB2312" w:hAnsi="楷体" w:eastAsia="仿宋_GB2312"/>
          <w:sz w:val="32"/>
          <w:szCs w:val="32"/>
        </w:rPr>
        <w:t>年政府采购预算</w:t>
      </w:r>
      <w:r>
        <w:rPr>
          <w:rFonts w:hint="eastAsia" w:ascii="仿宋_GB2312" w:hAnsi="楷体" w:eastAsia="仿宋_GB2312"/>
          <w:sz w:val="32"/>
          <w:szCs w:val="32"/>
          <w:lang w:val="en-US" w:eastAsia="zh-CN"/>
        </w:rPr>
        <w:t>35</w:t>
      </w:r>
      <w:r>
        <w:rPr>
          <w:rFonts w:hint="eastAsia" w:ascii="仿宋_GB2312" w:hAnsi="楷体" w:eastAsia="仿宋_GB2312"/>
          <w:sz w:val="32"/>
          <w:szCs w:val="32"/>
        </w:rPr>
        <w:t>万元。其中：政府采购货物预算</w:t>
      </w:r>
      <w:r>
        <w:rPr>
          <w:rFonts w:hint="eastAsia" w:ascii="仿宋_GB2312" w:hAnsi="楷体" w:eastAsia="仿宋_GB2312"/>
          <w:sz w:val="32"/>
          <w:szCs w:val="32"/>
          <w:lang w:val="en-US" w:eastAsia="zh-CN"/>
        </w:rPr>
        <w:t>35</w:t>
      </w:r>
      <w:r>
        <w:rPr>
          <w:rFonts w:hint="eastAsia" w:ascii="仿宋_GB2312" w:hAnsi="楷体" w:eastAsia="仿宋_GB2312"/>
          <w:sz w:val="32"/>
          <w:szCs w:val="32"/>
        </w:rPr>
        <w:t>万元，政府采购工程预算</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万元，政府采购服务预算</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w:t>
      </w:r>
    </w:p>
    <w:p>
      <w:pPr>
        <w:adjustRightInd w:val="0"/>
        <w:snapToGrid w:val="0"/>
        <w:spacing w:line="60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（四）国有资产占有使用情况。</w:t>
      </w:r>
    </w:p>
    <w:p>
      <w:pPr>
        <w:adjustRightInd w:val="0"/>
        <w:snapToGrid w:val="0"/>
        <w:spacing w:line="600" w:lineRule="exact"/>
        <w:ind w:firstLine="640" w:firstLineChars="200"/>
        <w:rPr>
          <w:rFonts w:ascii="仿宋_GB2312" w:hAnsi="楷体" w:eastAsia="仿宋_GB2312"/>
          <w:color w:val="3366FF"/>
          <w:sz w:val="32"/>
          <w:szCs w:val="32"/>
        </w:rPr>
      </w:pPr>
      <w:r>
        <w:rPr>
          <w:rFonts w:hint="eastAsia" w:ascii="仿宋_GB2312" w:hAnsi="仿宋" w:eastAsia="仿宋_GB2312"/>
          <w:sz w:val="32"/>
          <w:szCs w:val="32"/>
        </w:rPr>
        <w:t>截至</w:t>
      </w:r>
      <w:r>
        <w:rPr>
          <w:rFonts w:ascii="仿宋_GB2312" w:hAnsi="仿宋" w:eastAsia="仿宋_GB2312"/>
          <w:sz w:val="32"/>
          <w:szCs w:val="32"/>
        </w:rPr>
        <w:t>2021</w:t>
      </w:r>
      <w:r>
        <w:rPr>
          <w:rFonts w:hint="eastAsia" w:ascii="仿宋_GB2312" w:hAnsi="仿宋" w:eastAsia="仿宋_GB2312"/>
          <w:sz w:val="32"/>
          <w:szCs w:val="32"/>
        </w:rPr>
        <w:t>年</w:t>
      </w:r>
      <w:r>
        <w:rPr>
          <w:rFonts w:ascii="仿宋_GB2312" w:hAnsi="仿宋" w:eastAsia="仿宋_GB2312"/>
          <w:sz w:val="32"/>
          <w:szCs w:val="32"/>
        </w:rPr>
        <w:t>12</w:t>
      </w:r>
      <w:r>
        <w:rPr>
          <w:rFonts w:hint="eastAsia" w:ascii="仿宋_GB2312" w:hAnsi="仿宋" w:eastAsia="仿宋_GB2312"/>
          <w:sz w:val="32"/>
          <w:szCs w:val="32"/>
        </w:rPr>
        <w:t>月</w:t>
      </w:r>
      <w:r>
        <w:rPr>
          <w:rFonts w:ascii="仿宋_GB2312" w:hAnsi="仿宋" w:eastAsia="仿宋_GB2312"/>
          <w:sz w:val="32"/>
          <w:szCs w:val="32"/>
        </w:rPr>
        <w:t>31</w:t>
      </w:r>
      <w:r>
        <w:rPr>
          <w:rFonts w:hint="eastAsia" w:ascii="仿宋_GB2312" w:hAnsi="仿宋" w:eastAsia="仿宋_GB2312"/>
          <w:sz w:val="32"/>
          <w:szCs w:val="32"/>
        </w:rPr>
        <w:t>日，</w:t>
      </w:r>
      <w:r>
        <w:rPr>
          <w:rFonts w:hint="eastAsia" w:ascii="仿宋_GB2312" w:hAnsi="仿宋" w:eastAsia="仿宋_GB2312" w:cs="宋体"/>
          <w:kern w:val="0"/>
          <w:sz w:val="32"/>
          <w:szCs w:val="32"/>
          <w:lang w:eastAsia="zh-CN"/>
        </w:rPr>
        <w:t>淮南市医疗保障局</w:t>
      </w:r>
      <w:r>
        <w:rPr>
          <w:rFonts w:hint="eastAsia" w:ascii="仿宋_GB2312" w:hAnsi="楷体" w:eastAsia="仿宋_GB2312"/>
          <w:sz w:val="32"/>
          <w:szCs w:val="32"/>
        </w:rPr>
        <w:t>共有车辆</w:t>
      </w:r>
      <w:r>
        <w:rPr>
          <w:rFonts w:hint="eastAsia" w:ascii="仿宋_GB2312" w:hAnsi="楷体" w:eastAsia="仿宋_GB2312"/>
          <w:sz w:val="32"/>
          <w:szCs w:val="32"/>
          <w:lang w:val="en-US" w:eastAsia="zh-CN"/>
        </w:rPr>
        <w:t>1</w:t>
      </w:r>
      <w:r>
        <w:rPr>
          <w:rFonts w:hint="eastAsia" w:ascii="仿宋_GB2312" w:hAnsi="楷体" w:eastAsia="仿宋_GB2312"/>
          <w:sz w:val="32"/>
          <w:szCs w:val="32"/>
        </w:rPr>
        <w:t>辆，</w:t>
      </w:r>
      <w:r>
        <w:rPr>
          <w:rFonts w:hint="eastAsia" w:ascii="仿宋_GB2312" w:hAnsi="楷体" w:eastAsia="仿宋_GB2312"/>
          <w:color w:val="000000" w:themeColor="text1"/>
          <w:sz w:val="32"/>
          <w:szCs w:val="32"/>
        </w:rPr>
        <w:t>其中：其他用车</w:t>
      </w:r>
      <w:r>
        <w:rPr>
          <w:rFonts w:hint="eastAsia" w:ascii="仿宋_GB2312" w:hAnsi="楷体" w:eastAsia="仿宋_GB2312"/>
          <w:color w:val="000000" w:themeColor="text1"/>
          <w:sz w:val="32"/>
          <w:szCs w:val="32"/>
          <w:lang w:val="en-US" w:eastAsia="zh-CN"/>
        </w:rPr>
        <w:t>1</w:t>
      </w:r>
      <w:r>
        <w:rPr>
          <w:rFonts w:hint="eastAsia" w:ascii="仿宋_GB2312" w:hAnsi="楷体" w:eastAsia="仿宋_GB2312"/>
          <w:color w:val="000000" w:themeColor="text1"/>
          <w:sz w:val="32"/>
          <w:szCs w:val="32"/>
        </w:rPr>
        <w:t>辆</w:t>
      </w:r>
      <w:r>
        <w:rPr>
          <w:rFonts w:hint="eastAsia" w:ascii="仿宋_GB2312" w:hAnsi="楷体" w:eastAsia="仿宋_GB2312"/>
          <w:sz w:val="32"/>
          <w:szCs w:val="32"/>
        </w:rPr>
        <w:t>。单位价值</w:t>
      </w:r>
      <w:r>
        <w:rPr>
          <w:rFonts w:ascii="仿宋_GB2312" w:hAnsi="楷体" w:eastAsia="仿宋_GB2312"/>
          <w:sz w:val="32"/>
          <w:szCs w:val="32"/>
        </w:rPr>
        <w:t>50</w:t>
      </w:r>
      <w:r>
        <w:rPr>
          <w:rFonts w:hint="eastAsia" w:ascii="仿宋_GB2312" w:hAnsi="楷体" w:eastAsia="仿宋_GB2312"/>
          <w:sz w:val="32"/>
          <w:szCs w:val="32"/>
        </w:rPr>
        <w:t>万元以上的通用设备</w:t>
      </w:r>
      <w:r>
        <w:rPr>
          <w:rFonts w:hint="eastAsia" w:ascii="仿宋_GB2312" w:hAnsi="楷体" w:eastAsia="仿宋_GB2312"/>
          <w:sz w:val="32"/>
          <w:szCs w:val="32"/>
          <w:lang w:val="en-US" w:eastAsia="zh-CN"/>
        </w:rPr>
        <w:t>0</w:t>
      </w:r>
      <w:r>
        <w:rPr>
          <w:rFonts w:hint="eastAsia" w:ascii="仿宋_GB2312" w:hAnsi="楷体" w:eastAsia="仿宋_GB2312"/>
          <w:sz w:val="32"/>
          <w:szCs w:val="32"/>
        </w:rPr>
        <w:t>台（套），单位价值</w:t>
      </w:r>
      <w:r>
        <w:rPr>
          <w:rFonts w:ascii="仿宋_GB2312" w:hAnsi="楷体" w:eastAsia="仿宋_GB2312"/>
          <w:sz w:val="32"/>
          <w:szCs w:val="32"/>
        </w:rPr>
        <w:t>100</w:t>
      </w:r>
      <w:r>
        <w:rPr>
          <w:rFonts w:hint="eastAsia" w:ascii="仿宋_GB2312" w:hAnsi="楷体" w:eastAsia="仿宋_GB2312"/>
          <w:sz w:val="32"/>
          <w:szCs w:val="32"/>
        </w:rPr>
        <w:t>万元以上的专用设备</w:t>
      </w:r>
      <w:r>
        <w:rPr>
          <w:rFonts w:hint="eastAsia" w:ascii="仿宋_GB2312" w:hAnsi="楷体" w:eastAsia="仿宋_GB2312"/>
          <w:sz w:val="32"/>
          <w:szCs w:val="32"/>
          <w:lang w:val="en-US" w:eastAsia="zh-CN"/>
        </w:rPr>
        <w:t>0</w:t>
      </w:r>
      <w:r>
        <w:rPr>
          <w:rFonts w:hint="eastAsia" w:ascii="仿宋_GB2312" w:hAnsi="楷体" w:eastAsia="仿宋_GB2312"/>
          <w:sz w:val="32"/>
          <w:szCs w:val="32"/>
        </w:rPr>
        <w:t>台（套）。</w:t>
      </w:r>
    </w:p>
    <w:p>
      <w:pPr>
        <w:adjustRightInd w:val="0"/>
        <w:snapToGrid w:val="0"/>
        <w:spacing w:line="600" w:lineRule="exact"/>
        <w:ind w:firstLine="640" w:firstLineChars="200"/>
        <w:rPr>
          <w:rFonts w:ascii="仿宋_GB2312" w:hAnsi="楷体" w:eastAsia="仿宋_GB2312"/>
          <w:sz w:val="32"/>
          <w:szCs w:val="32"/>
        </w:rPr>
      </w:pPr>
      <w:r>
        <w:rPr>
          <w:rFonts w:ascii="仿宋_GB2312" w:hAnsi="楷体" w:eastAsia="仿宋_GB2312"/>
          <w:sz w:val="32"/>
          <w:szCs w:val="32"/>
        </w:rPr>
        <w:t>2022</w:t>
      </w:r>
      <w:r>
        <w:rPr>
          <w:rFonts w:hint="eastAsia" w:ascii="仿宋_GB2312" w:hAnsi="楷体" w:eastAsia="仿宋_GB2312"/>
          <w:sz w:val="32"/>
          <w:szCs w:val="32"/>
        </w:rPr>
        <w:t>年部门预算安排购置公务用车</w:t>
      </w:r>
      <w:r>
        <w:rPr>
          <w:rFonts w:hint="eastAsia" w:ascii="仿宋_GB2312" w:hAnsi="楷体" w:eastAsia="仿宋_GB2312"/>
          <w:sz w:val="32"/>
          <w:szCs w:val="32"/>
          <w:lang w:val="en-US" w:eastAsia="zh-CN"/>
        </w:rPr>
        <w:t>0</w:t>
      </w:r>
      <w:r>
        <w:rPr>
          <w:rFonts w:hint="eastAsia" w:ascii="仿宋_GB2312" w:hAnsi="楷体" w:eastAsia="仿宋_GB2312"/>
          <w:sz w:val="32"/>
          <w:szCs w:val="32"/>
        </w:rPr>
        <w:t>辆，购置费</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w:t>
      </w:r>
      <w:r>
        <w:rPr>
          <w:rFonts w:hint="eastAsia" w:ascii="仿宋_GB2312" w:hAnsi="楷体" w:eastAsia="仿宋_GB2312"/>
          <w:sz w:val="32"/>
          <w:szCs w:val="32"/>
          <w:lang w:val="en-US" w:eastAsia="zh-CN"/>
        </w:rPr>
        <w:t>0</w:t>
      </w:r>
      <w:r>
        <w:rPr>
          <w:rFonts w:hint="eastAsia" w:ascii="仿宋_GB2312" w:hAnsi="楷体" w:eastAsia="仿宋_GB2312"/>
          <w:sz w:val="32"/>
          <w:szCs w:val="32"/>
        </w:rPr>
        <w:t>；安排购置单位价值</w:t>
      </w:r>
      <w:r>
        <w:rPr>
          <w:rFonts w:ascii="仿宋_GB2312" w:hAnsi="楷体" w:eastAsia="仿宋_GB2312"/>
          <w:sz w:val="32"/>
          <w:szCs w:val="32"/>
        </w:rPr>
        <w:t>50</w:t>
      </w:r>
      <w:r>
        <w:rPr>
          <w:rFonts w:hint="eastAsia" w:ascii="仿宋_GB2312" w:hAnsi="楷体" w:eastAsia="仿宋_GB2312"/>
          <w:sz w:val="32"/>
          <w:szCs w:val="32"/>
        </w:rPr>
        <w:t>万元以上的通用设备</w:t>
      </w:r>
      <w:r>
        <w:rPr>
          <w:rFonts w:hint="eastAsia" w:ascii="仿宋_GB2312" w:hAnsi="楷体" w:eastAsia="仿宋_GB2312"/>
          <w:sz w:val="32"/>
          <w:szCs w:val="32"/>
          <w:lang w:val="en-US" w:eastAsia="zh-CN"/>
        </w:rPr>
        <w:t>0</w:t>
      </w:r>
      <w:r>
        <w:rPr>
          <w:rFonts w:hint="eastAsia" w:ascii="仿宋_GB2312" w:hAnsi="楷体" w:eastAsia="仿宋_GB2312"/>
          <w:sz w:val="32"/>
          <w:szCs w:val="32"/>
        </w:rPr>
        <w:t>台（套），购置费</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万元；安排购置单位价值</w:t>
      </w:r>
      <w:r>
        <w:rPr>
          <w:rFonts w:ascii="仿宋_GB2312" w:hAnsi="楷体" w:eastAsia="仿宋_GB2312"/>
          <w:sz w:val="32"/>
          <w:szCs w:val="32"/>
        </w:rPr>
        <w:t>100</w:t>
      </w:r>
      <w:r>
        <w:rPr>
          <w:rFonts w:hint="eastAsia" w:ascii="仿宋_GB2312" w:hAnsi="楷体" w:eastAsia="仿宋_GB2312"/>
          <w:sz w:val="32"/>
          <w:szCs w:val="32"/>
        </w:rPr>
        <w:t>万元以上专用设备</w:t>
      </w:r>
      <w:r>
        <w:rPr>
          <w:rFonts w:hint="eastAsia" w:ascii="仿宋_GB2312" w:hAnsi="楷体" w:eastAsia="仿宋_GB2312"/>
          <w:sz w:val="32"/>
          <w:szCs w:val="32"/>
          <w:lang w:val="en-US" w:eastAsia="zh-CN"/>
        </w:rPr>
        <w:t>0</w:t>
      </w:r>
      <w:r>
        <w:rPr>
          <w:rFonts w:hint="eastAsia" w:ascii="仿宋_GB2312" w:hAnsi="楷体" w:eastAsia="仿宋_GB2312"/>
          <w:sz w:val="32"/>
          <w:szCs w:val="32"/>
        </w:rPr>
        <w:t>台（套），购置费</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w:t>
      </w:r>
    </w:p>
    <w:p>
      <w:pPr>
        <w:adjustRightInd w:val="0"/>
        <w:snapToGrid w:val="0"/>
        <w:spacing w:line="60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（五）绩效目标设置情况。</w:t>
      </w:r>
    </w:p>
    <w:p>
      <w:pPr>
        <w:adjustRightInd w:val="0"/>
        <w:snapToGrid w:val="0"/>
        <w:spacing w:line="600" w:lineRule="exact"/>
        <w:ind w:firstLine="640" w:firstLineChars="200"/>
        <w:outlineLvl w:val="0"/>
        <w:rPr>
          <w:rFonts w:ascii="仿宋_GB2312" w:hAnsi="仿宋" w:eastAsia="仿宋_GB2312"/>
          <w:sz w:val="32"/>
          <w:szCs w:val="32"/>
        </w:rPr>
      </w:pPr>
      <w:r>
        <w:rPr>
          <w:rFonts w:ascii="仿宋_GB2312" w:hAnsi="仿宋" w:eastAsia="仿宋_GB2312"/>
          <w:sz w:val="32"/>
          <w:szCs w:val="32"/>
        </w:rPr>
        <w:t>2022</w:t>
      </w:r>
      <w:r>
        <w:rPr>
          <w:rFonts w:hint="eastAsia" w:ascii="仿宋_GB2312" w:hAnsi="仿宋" w:eastAsia="仿宋_GB2312"/>
          <w:sz w:val="32"/>
          <w:szCs w:val="32"/>
        </w:rPr>
        <w:t>年，</w:t>
      </w:r>
      <w:r>
        <w:rPr>
          <w:rFonts w:hint="eastAsia" w:ascii="仿宋_GB2312" w:hAnsi="仿宋" w:eastAsia="仿宋_GB2312" w:cs="宋体"/>
          <w:kern w:val="0"/>
          <w:sz w:val="32"/>
          <w:szCs w:val="32"/>
          <w:lang w:eastAsia="zh-CN"/>
        </w:rPr>
        <w:t>淮南市医疗保障局</w:t>
      </w:r>
      <w:r>
        <w:rPr>
          <w:rFonts w:hint="eastAsia" w:ascii="仿宋_GB2312" w:hAnsi="仿宋" w:eastAsia="仿宋_GB2312"/>
          <w:sz w:val="32"/>
          <w:szCs w:val="32"/>
          <w:lang w:val="en-US" w:eastAsia="zh-CN"/>
        </w:rPr>
        <w:t>26</w:t>
      </w:r>
      <w:r>
        <w:rPr>
          <w:rFonts w:hint="eastAsia" w:ascii="仿宋_GB2312" w:hAnsi="仿宋" w:eastAsia="仿宋_GB2312"/>
          <w:sz w:val="32"/>
          <w:szCs w:val="32"/>
        </w:rPr>
        <w:t>个项目实行了绩效目标管理，涉及一般公共预算当年财政拨款</w:t>
      </w:r>
      <w:r>
        <w:rPr>
          <w:rFonts w:hint="eastAsia" w:ascii="仿宋_GB2312" w:hAnsi="仿宋" w:eastAsia="仿宋_GB2312"/>
          <w:sz w:val="32"/>
          <w:szCs w:val="32"/>
          <w:lang w:val="en-US" w:eastAsia="zh-CN"/>
        </w:rPr>
        <w:t>5698.16</w:t>
      </w:r>
      <w:r>
        <w:rPr>
          <w:rFonts w:hint="eastAsia" w:ascii="仿宋_GB2312" w:hAnsi="仿宋" w:eastAsia="仿宋_GB2312"/>
          <w:sz w:val="32"/>
          <w:szCs w:val="32"/>
        </w:rPr>
        <w:t>万元、政府性基金预算当年财政拨款</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万元、国有资本经营预算当年财政拨款</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万元、财政专户管理资金当年安排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万元和单位资金安排安排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w:t>
      </w:r>
    </w:p>
    <w:p>
      <w:pPr>
        <w:adjustRightInd w:val="0"/>
        <w:snapToGrid w:val="0"/>
        <w:spacing w:line="600" w:lineRule="exact"/>
        <w:jc w:val="both"/>
        <w:rPr>
          <w:rFonts w:ascii="黑体" w:eastAsia="黑体" w:cs="宋体"/>
          <w:sz w:val="36"/>
          <w:szCs w:val="36"/>
        </w:rPr>
      </w:pPr>
    </w:p>
    <w:p>
      <w:pPr>
        <w:adjustRightInd w:val="0"/>
        <w:snapToGrid w:val="0"/>
        <w:spacing w:line="600" w:lineRule="exact"/>
        <w:jc w:val="center"/>
        <w:rPr>
          <w:rFonts w:ascii="黑体" w:eastAsia="黑体" w:cs="宋体"/>
          <w:sz w:val="36"/>
          <w:szCs w:val="36"/>
        </w:rPr>
      </w:pPr>
      <w:r>
        <w:rPr>
          <w:rFonts w:hint="eastAsia" w:ascii="黑体" w:eastAsia="黑体" w:cs="宋体"/>
          <w:sz w:val="36"/>
          <w:szCs w:val="36"/>
        </w:rPr>
        <w:t>第四部分</w:t>
      </w:r>
      <w:r>
        <w:rPr>
          <w:rFonts w:ascii="黑体" w:eastAsia="黑体" w:cs="宋体"/>
          <w:sz w:val="36"/>
          <w:szCs w:val="36"/>
        </w:rPr>
        <w:t xml:space="preserve"> </w:t>
      </w:r>
      <w:r>
        <w:rPr>
          <w:rFonts w:hint="eastAsia" w:ascii="黑体" w:eastAsia="黑体" w:cs="宋体"/>
          <w:sz w:val="36"/>
          <w:szCs w:val="36"/>
        </w:rPr>
        <w:t>名词解释</w:t>
      </w:r>
    </w:p>
    <w:p>
      <w:pPr>
        <w:adjustRightInd w:val="0"/>
        <w:snapToGrid w:val="0"/>
        <w:spacing w:line="600" w:lineRule="exact"/>
        <w:jc w:val="center"/>
        <w:rPr>
          <w:rFonts w:ascii="黑体" w:hAnsi="黑体" w:eastAsia="黑体"/>
          <w:sz w:val="32"/>
          <w:szCs w:val="32"/>
        </w:rPr>
      </w:pPr>
    </w:p>
    <w:p>
      <w:pPr>
        <w:adjustRightInd w:val="0"/>
        <w:snapToGrid w:val="0"/>
        <w:spacing w:line="600" w:lineRule="exact"/>
        <w:ind w:firstLine="640" w:firstLineChars="200"/>
        <w:rPr>
          <w:rFonts w:ascii="仿宋_GB2312" w:hAnsi="仿宋" w:eastAsia="仿宋_GB2312"/>
          <w:sz w:val="32"/>
          <w:szCs w:val="32"/>
        </w:rPr>
      </w:pPr>
      <w:r>
        <w:rPr>
          <w:rFonts w:hint="eastAsia" w:ascii="黑体" w:hAnsi="仿宋" w:eastAsia="黑体"/>
          <w:sz w:val="32"/>
          <w:szCs w:val="32"/>
        </w:rPr>
        <w:t>一、财政拨款收入</w:t>
      </w:r>
      <w:r>
        <w:rPr>
          <w:rFonts w:hint="eastAsia" w:ascii="仿宋_GB2312" w:hAnsi="仿宋" w:eastAsia="仿宋_GB2312"/>
          <w:b/>
          <w:sz w:val="32"/>
          <w:szCs w:val="32"/>
        </w:rPr>
        <w:t>：</w:t>
      </w:r>
      <w:r>
        <w:rPr>
          <w:rFonts w:hint="eastAsia" w:ascii="仿宋_GB2312" w:hAnsi="仿宋" w:eastAsia="仿宋_GB2312"/>
          <w:sz w:val="32"/>
          <w:szCs w:val="32"/>
        </w:rPr>
        <w:t>指部门或单位从同级财政部门取得的财政预算资金。</w:t>
      </w:r>
    </w:p>
    <w:p>
      <w:pPr>
        <w:pStyle w:val="5"/>
        <w:adjustRightInd w:val="0"/>
        <w:snapToGrid w:val="0"/>
        <w:spacing w:line="600" w:lineRule="exact"/>
        <w:ind w:firstLine="627" w:firstLineChars="196"/>
        <w:rPr>
          <w:rFonts w:ascii="黑体" w:hAnsi="黑体" w:eastAsia="黑体"/>
          <w:sz w:val="32"/>
          <w:szCs w:val="32"/>
        </w:rPr>
      </w:pPr>
      <w:r>
        <w:rPr>
          <w:rFonts w:hint="eastAsia" w:ascii="黑体" w:hAnsi="仿宋" w:eastAsia="黑体" w:cs="Times New Roman"/>
          <w:kern w:val="2"/>
          <w:sz w:val="32"/>
          <w:szCs w:val="32"/>
        </w:rPr>
        <w:t>二、事业收入：</w:t>
      </w:r>
      <w:r>
        <w:rPr>
          <w:rFonts w:hint="eastAsia" w:ascii="仿宋_GB2312" w:hAnsi="仿宋" w:eastAsia="仿宋_GB2312" w:cs="Times New Roman"/>
          <w:kern w:val="2"/>
          <w:sz w:val="32"/>
          <w:szCs w:val="32"/>
        </w:rPr>
        <w:t>指事业单位开展专业业务活动及辅助活动所取得的收入。</w:t>
      </w:r>
    </w:p>
    <w:p>
      <w:pPr>
        <w:pStyle w:val="5"/>
        <w:adjustRightInd w:val="0"/>
        <w:snapToGrid w:val="0"/>
        <w:spacing w:before="0" w:beforeAutospacing="0" w:after="0" w:afterAutospacing="0"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三、财政专户管理资金：</w:t>
      </w:r>
      <w:r>
        <w:rPr>
          <w:rFonts w:hint="eastAsia" w:ascii="仿宋_GB2312" w:hAnsi="仿宋" w:eastAsia="仿宋_GB2312" w:cs="Times New Roman"/>
          <w:kern w:val="2"/>
          <w:sz w:val="32"/>
          <w:szCs w:val="32"/>
        </w:rPr>
        <w:t>指按照非税收入管理相关规定，纳入财政专户管理的教育收费等。</w:t>
      </w:r>
    </w:p>
    <w:p>
      <w:pPr>
        <w:pStyle w:val="5"/>
        <w:adjustRightInd w:val="0"/>
        <w:snapToGrid w:val="0"/>
        <w:spacing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四、事业单位经营收入：</w:t>
      </w:r>
      <w:r>
        <w:rPr>
          <w:rFonts w:hint="eastAsia" w:ascii="仿宋_GB2312" w:hAnsi="仿宋" w:eastAsia="仿宋_GB2312" w:cs="Times New Roman"/>
          <w:kern w:val="2"/>
          <w:sz w:val="32"/>
          <w:szCs w:val="32"/>
        </w:rPr>
        <w:t>指事业单位在专业业务活动及其辅助活动之外开展非独立核算经营活动取得的收入。</w:t>
      </w:r>
    </w:p>
    <w:p>
      <w:pPr>
        <w:pStyle w:val="5"/>
        <w:adjustRightInd w:val="0"/>
        <w:snapToGrid w:val="0"/>
        <w:spacing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五、附属单位上缴收入：</w:t>
      </w:r>
      <w:r>
        <w:rPr>
          <w:rFonts w:hint="eastAsia" w:ascii="仿宋_GB2312" w:hAnsi="仿宋" w:eastAsia="仿宋_GB2312" w:cs="Times New Roman"/>
          <w:kern w:val="2"/>
          <w:sz w:val="32"/>
          <w:szCs w:val="32"/>
        </w:rPr>
        <w:t>本单位所属下级单位上缴给本单位的全部收入。</w:t>
      </w:r>
    </w:p>
    <w:p>
      <w:pPr>
        <w:pStyle w:val="5"/>
        <w:adjustRightInd w:val="0"/>
        <w:snapToGrid w:val="0"/>
        <w:spacing w:before="0" w:beforeAutospacing="0" w:after="0" w:afterAutospacing="0"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六、上年结转：</w:t>
      </w:r>
      <w:r>
        <w:rPr>
          <w:rFonts w:hint="eastAsia" w:ascii="仿宋_GB2312" w:hAnsi="仿宋" w:eastAsia="仿宋_GB2312" w:cs="Times New Roman"/>
          <w:kern w:val="2"/>
          <w:sz w:val="32"/>
          <w:szCs w:val="32"/>
        </w:rPr>
        <w:t>指以前年度安排、结转到本年仍按原用途继续使用的资金。</w:t>
      </w:r>
    </w:p>
    <w:p>
      <w:pPr>
        <w:pStyle w:val="5"/>
        <w:adjustRightInd w:val="0"/>
        <w:snapToGrid w:val="0"/>
        <w:spacing w:before="0" w:beforeAutospacing="0" w:after="0" w:afterAutospacing="0"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七、结转下年：</w:t>
      </w:r>
      <w:r>
        <w:rPr>
          <w:rFonts w:hint="eastAsia" w:ascii="仿宋_GB2312" w:hAnsi="仿宋" w:eastAsia="仿宋_GB2312" w:cs="Times New Roman"/>
          <w:kern w:val="2"/>
          <w:sz w:val="32"/>
          <w:szCs w:val="32"/>
        </w:rPr>
        <w:t>指以前年度预算安排、因客观条件发生变化无法按原计划实施，需以后年度按原用途继续使用的资金。</w:t>
      </w:r>
    </w:p>
    <w:p>
      <w:pPr>
        <w:pStyle w:val="5"/>
        <w:adjustRightInd w:val="0"/>
        <w:snapToGrid w:val="0"/>
        <w:spacing w:before="0" w:beforeAutospacing="0" w:after="0" w:afterAutospacing="0" w:line="600" w:lineRule="exact"/>
        <w:ind w:firstLine="627" w:firstLineChars="196"/>
        <w:rPr>
          <w:rFonts w:ascii="仿宋_GB2312" w:hAnsi="黑体" w:eastAsia="仿宋_GB2312"/>
          <w:sz w:val="32"/>
          <w:szCs w:val="32"/>
        </w:rPr>
      </w:pPr>
      <w:r>
        <w:rPr>
          <w:rFonts w:hint="eastAsia" w:ascii="黑体" w:hAnsi="黑体" w:eastAsia="黑体"/>
          <w:sz w:val="32"/>
          <w:szCs w:val="32"/>
        </w:rPr>
        <w:t>八、基本支出</w:t>
      </w:r>
      <w:r>
        <w:rPr>
          <w:rFonts w:hint="eastAsia" w:ascii="仿宋_GB2312" w:hAnsi="黑体" w:eastAsia="仿宋_GB2312"/>
          <w:b/>
          <w:sz w:val="32"/>
          <w:szCs w:val="32"/>
        </w:rPr>
        <w:t>：</w:t>
      </w:r>
      <w:r>
        <w:rPr>
          <w:rFonts w:hint="eastAsia" w:ascii="仿宋_GB2312" w:hAnsi="黑体" w:eastAsia="仿宋_GB2312"/>
          <w:sz w:val="32"/>
          <w:szCs w:val="32"/>
        </w:rPr>
        <w:t>指为保障机构正常运转、完成日常工作任务而发生的人员支出和公用支出。</w:t>
      </w:r>
    </w:p>
    <w:p>
      <w:pPr>
        <w:pStyle w:val="5"/>
        <w:spacing w:before="0" w:beforeAutospacing="0" w:after="0" w:afterAutospacing="0" w:line="600" w:lineRule="exact"/>
        <w:ind w:firstLine="627" w:firstLineChars="196"/>
        <w:jc w:val="both"/>
        <w:rPr>
          <w:rFonts w:ascii="仿宋_GB2312" w:hAnsi="黑体" w:eastAsia="仿宋_GB2312"/>
          <w:sz w:val="32"/>
          <w:szCs w:val="32"/>
        </w:rPr>
      </w:pPr>
      <w:r>
        <w:rPr>
          <w:rFonts w:hint="eastAsia" w:ascii="黑体" w:hAnsi="黑体" w:eastAsia="黑体"/>
          <w:sz w:val="32"/>
          <w:szCs w:val="32"/>
        </w:rPr>
        <w:t>九、项目支出</w:t>
      </w:r>
      <w:r>
        <w:rPr>
          <w:rFonts w:hint="eastAsia" w:ascii="仿宋_GB2312" w:hAnsi="黑体" w:eastAsia="仿宋_GB2312"/>
          <w:b/>
          <w:sz w:val="32"/>
          <w:szCs w:val="32"/>
        </w:rPr>
        <w:t>：</w:t>
      </w:r>
      <w:r>
        <w:rPr>
          <w:rFonts w:hint="eastAsia" w:ascii="仿宋_GB2312" w:hAnsi="黑体" w:eastAsia="仿宋_GB2312"/>
          <w:sz w:val="32"/>
          <w:szCs w:val="32"/>
        </w:rPr>
        <w:t>指在除基本支出之外的支出，主要用于完成特定的工作任务和事业发展目标。</w:t>
      </w:r>
      <w:r>
        <w:rPr>
          <w:rFonts w:ascii="仿宋_GB2312" w:hAnsi="黑体" w:eastAsia="仿宋_GB2312"/>
          <w:sz w:val="32"/>
          <w:szCs w:val="32"/>
        </w:rPr>
        <w:br w:type="textWrapping"/>
      </w:r>
      <w:r>
        <w:rPr>
          <w:rFonts w:ascii="黑体" w:hAnsi="黑体" w:eastAsia="黑体"/>
          <w:sz w:val="32"/>
          <w:szCs w:val="32"/>
        </w:rPr>
        <w:t xml:space="preserve"> </w:t>
      </w:r>
      <w:r>
        <w:rPr>
          <w:rFonts w:hint="eastAsia" w:ascii="黑体" w:hAnsi="黑体" w:eastAsia="黑体"/>
          <w:sz w:val="32"/>
          <w:szCs w:val="32"/>
        </w:rPr>
        <w:t>十、机关运行经费</w:t>
      </w:r>
      <w:r>
        <w:rPr>
          <w:rFonts w:ascii="黑体" w:hAnsi="黑体" w:eastAsia="黑体"/>
          <w:sz w:val="32"/>
          <w:szCs w:val="32"/>
        </w:rPr>
        <w:t>:</w:t>
      </w:r>
      <w:r>
        <w:rPr>
          <w:rFonts w:hint="eastAsia" w:ascii="仿宋_GB2312" w:hAnsi="黑体" w:eastAsia="仿宋_GB2312"/>
          <w:sz w:val="32"/>
          <w:szCs w:val="32"/>
        </w:rPr>
        <w:t>为保障行政单位（包括参照公务员法管理的事业单位）运行用于购买货物和服务的各项资金，包括办公及印刷费、邮电费、差旅费、会议费、福利费、日常维修费、一般设备购置费、办公用房水电费、办公用房取暖费、办公用房物业管理费、公务用车运行维护费以及其他费用。</w:t>
      </w:r>
    </w:p>
    <w:p>
      <w:pPr>
        <w:pStyle w:val="5"/>
        <w:adjustRightInd w:val="0"/>
        <w:snapToGrid w:val="0"/>
        <w:spacing w:before="0" w:beforeAutospacing="0" w:after="0" w:afterAutospacing="0" w:line="360" w:lineRule="auto"/>
        <w:ind w:left="359" w:leftChars="171"/>
        <w:jc w:val="both"/>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fldChar w:fldCharType="begin"/>
    </w:r>
    <w:r>
      <w:instrText xml:space="preserve"> PAGE   \* MERGEFORMAT </w:instrText>
    </w:r>
    <w:r>
      <w:fldChar w:fldCharType="separate"/>
    </w:r>
    <w:r>
      <w:rPr>
        <w:lang w:val="zh-CN"/>
      </w:rPr>
      <w:t>1</w:t>
    </w:r>
    <w:r>
      <w:rPr>
        <w:lang w:val="zh-CN"/>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F34332"/>
    <w:multiLevelType w:val="singleLevel"/>
    <w:tmpl w:val="61F34332"/>
    <w:lvl w:ilvl="0" w:tentative="0">
      <w:start w:val="2"/>
      <w:numFmt w:val="chineseCounting"/>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7155"/>
    <w:rsid w:val="000003C1"/>
    <w:rsid w:val="00015821"/>
    <w:rsid w:val="00016DCE"/>
    <w:rsid w:val="0002669A"/>
    <w:rsid w:val="00026E99"/>
    <w:rsid w:val="0005090D"/>
    <w:rsid w:val="00052923"/>
    <w:rsid w:val="0005523F"/>
    <w:rsid w:val="000720A0"/>
    <w:rsid w:val="000807F9"/>
    <w:rsid w:val="000812F3"/>
    <w:rsid w:val="000859AC"/>
    <w:rsid w:val="00086992"/>
    <w:rsid w:val="00092BDB"/>
    <w:rsid w:val="0009339B"/>
    <w:rsid w:val="000945B8"/>
    <w:rsid w:val="00095C1B"/>
    <w:rsid w:val="000B486F"/>
    <w:rsid w:val="000B701A"/>
    <w:rsid w:val="000E0593"/>
    <w:rsid w:val="000F001D"/>
    <w:rsid w:val="000F35AE"/>
    <w:rsid w:val="000F6876"/>
    <w:rsid w:val="0012431A"/>
    <w:rsid w:val="00130CD5"/>
    <w:rsid w:val="00143558"/>
    <w:rsid w:val="00145AB0"/>
    <w:rsid w:val="00150DF1"/>
    <w:rsid w:val="00152846"/>
    <w:rsid w:val="00152BF2"/>
    <w:rsid w:val="00161C3F"/>
    <w:rsid w:val="00165C02"/>
    <w:rsid w:val="00166692"/>
    <w:rsid w:val="001771E6"/>
    <w:rsid w:val="001803E7"/>
    <w:rsid w:val="00194491"/>
    <w:rsid w:val="001949D0"/>
    <w:rsid w:val="001A6389"/>
    <w:rsid w:val="001A70D0"/>
    <w:rsid w:val="001C3EA4"/>
    <w:rsid w:val="001C4E9A"/>
    <w:rsid w:val="001D4149"/>
    <w:rsid w:val="001E4162"/>
    <w:rsid w:val="001E717A"/>
    <w:rsid w:val="001F54C8"/>
    <w:rsid w:val="001F739C"/>
    <w:rsid w:val="0020776B"/>
    <w:rsid w:val="00210D08"/>
    <w:rsid w:val="00226E7B"/>
    <w:rsid w:val="00234110"/>
    <w:rsid w:val="002351AD"/>
    <w:rsid w:val="00236C97"/>
    <w:rsid w:val="002458E8"/>
    <w:rsid w:val="0024741B"/>
    <w:rsid w:val="0025289A"/>
    <w:rsid w:val="00263B7E"/>
    <w:rsid w:val="002711F0"/>
    <w:rsid w:val="002725C5"/>
    <w:rsid w:val="00273982"/>
    <w:rsid w:val="00277F2D"/>
    <w:rsid w:val="00280650"/>
    <w:rsid w:val="002911C3"/>
    <w:rsid w:val="00294131"/>
    <w:rsid w:val="002A6B54"/>
    <w:rsid w:val="002C2BDF"/>
    <w:rsid w:val="002C781A"/>
    <w:rsid w:val="002E11DE"/>
    <w:rsid w:val="002E284A"/>
    <w:rsid w:val="002F54FF"/>
    <w:rsid w:val="002F6AE2"/>
    <w:rsid w:val="003066B6"/>
    <w:rsid w:val="00314DEA"/>
    <w:rsid w:val="00351103"/>
    <w:rsid w:val="00352640"/>
    <w:rsid w:val="00353EE7"/>
    <w:rsid w:val="00366256"/>
    <w:rsid w:val="00370476"/>
    <w:rsid w:val="00380820"/>
    <w:rsid w:val="00383CD8"/>
    <w:rsid w:val="003B060D"/>
    <w:rsid w:val="003C17BD"/>
    <w:rsid w:val="003C40FD"/>
    <w:rsid w:val="003D30B2"/>
    <w:rsid w:val="003E096B"/>
    <w:rsid w:val="003E237C"/>
    <w:rsid w:val="003E66A3"/>
    <w:rsid w:val="003E7441"/>
    <w:rsid w:val="003E7E98"/>
    <w:rsid w:val="003F2BE9"/>
    <w:rsid w:val="003F5900"/>
    <w:rsid w:val="00415416"/>
    <w:rsid w:val="00415ED5"/>
    <w:rsid w:val="0042415B"/>
    <w:rsid w:val="00425751"/>
    <w:rsid w:val="0042713F"/>
    <w:rsid w:val="00430C41"/>
    <w:rsid w:val="00431161"/>
    <w:rsid w:val="0044737F"/>
    <w:rsid w:val="00454492"/>
    <w:rsid w:val="00482476"/>
    <w:rsid w:val="0048574C"/>
    <w:rsid w:val="004A6577"/>
    <w:rsid w:val="004A7283"/>
    <w:rsid w:val="004C3BD5"/>
    <w:rsid w:val="00514735"/>
    <w:rsid w:val="00516B0F"/>
    <w:rsid w:val="00532161"/>
    <w:rsid w:val="0053715F"/>
    <w:rsid w:val="00542173"/>
    <w:rsid w:val="00544C35"/>
    <w:rsid w:val="00557E03"/>
    <w:rsid w:val="00562B09"/>
    <w:rsid w:val="00565987"/>
    <w:rsid w:val="00574EF2"/>
    <w:rsid w:val="00577B14"/>
    <w:rsid w:val="00582209"/>
    <w:rsid w:val="00584B72"/>
    <w:rsid w:val="005A1C41"/>
    <w:rsid w:val="005A1CDD"/>
    <w:rsid w:val="005A262C"/>
    <w:rsid w:val="005B0577"/>
    <w:rsid w:val="005B5372"/>
    <w:rsid w:val="005C2187"/>
    <w:rsid w:val="005D2121"/>
    <w:rsid w:val="005E1DBE"/>
    <w:rsid w:val="005E66C6"/>
    <w:rsid w:val="005F1DCD"/>
    <w:rsid w:val="00600DF2"/>
    <w:rsid w:val="00601B50"/>
    <w:rsid w:val="0060284C"/>
    <w:rsid w:val="00642C39"/>
    <w:rsid w:val="00647E00"/>
    <w:rsid w:val="00657804"/>
    <w:rsid w:val="00666BD8"/>
    <w:rsid w:val="00672304"/>
    <w:rsid w:val="00672AEA"/>
    <w:rsid w:val="0069039D"/>
    <w:rsid w:val="00693859"/>
    <w:rsid w:val="00694264"/>
    <w:rsid w:val="006A032A"/>
    <w:rsid w:val="006B17A0"/>
    <w:rsid w:val="006B6125"/>
    <w:rsid w:val="006D39F7"/>
    <w:rsid w:val="006E3F7A"/>
    <w:rsid w:val="006F28D7"/>
    <w:rsid w:val="00700AE0"/>
    <w:rsid w:val="007221FD"/>
    <w:rsid w:val="00722B93"/>
    <w:rsid w:val="007318DE"/>
    <w:rsid w:val="0074251D"/>
    <w:rsid w:val="00752451"/>
    <w:rsid w:val="00752F7A"/>
    <w:rsid w:val="0075731C"/>
    <w:rsid w:val="0076294D"/>
    <w:rsid w:val="00772BCD"/>
    <w:rsid w:val="00796E8E"/>
    <w:rsid w:val="007A0175"/>
    <w:rsid w:val="007A0E2A"/>
    <w:rsid w:val="007B0E13"/>
    <w:rsid w:val="007B6088"/>
    <w:rsid w:val="007D2C1D"/>
    <w:rsid w:val="007E28D7"/>
    <w:rsid w:val="007E36F8"/>
    <w:rsid w:val="00831988"/>
    <w:rsid w:val="00842138"/>
    <w:rsid w:val="00846410"/>
    <w:rsid w:val="00860CC8"/>
    <w:rsid w:val="00863DEC"/>
    <w:rsid w:val="00891055"/>
    <w:rsid w:val="00893638"/>
    <w:rsid w:val="008A4D1E"/>
    <w:rsid w:val="008B0535"/>
    <w:rsid w:val="008D3932"/>
    <w:rsid w:val="008E7426"/>
    <w:rsid w:val="008F1230"/>
    <w:rsid w:val="008F5697"/>
    <w:rsid w:val="00905D7A"/>
    <w:rsid w:val="009154FB"/>
    <w:rsid w:val="00915909"/>
    <w:rsid w:val="00915D08"/>
    <w:rsid w:val="00922AD1"/>
    <w:rsid w:val="00930672"/>
    <w:rsid w:val="00935BC1"/>
    <w:rsid w:val="00943723"/>
    <w:rsid w:val="00960E56"/>
    <w:rsid w:val="00962167"/>
    <w:rsid w:val="009640FF"/>
    <w:rsid w:val="009730E4"/>
    <w:rsid w:val="00976479"/>
    <w:rsid w:val="0098716A"/>
    <w:rsid w:val="009874BC"/>
    <w:rsid w:val="0099011F"/>
    <w:rsid w:val="00990C8B"/>
    <w:rsid w:val="009A3572"/>
    <w:rsid w:val="009A5CC2"/>
    <w:rsid w:val="009C10D1"/>
    <w:rsid w:val="009C7F13"/>
    <w:rsid w:val="009E5A38"/>
    <w:rsid w:val="009F2E05"/>
    <w:rsid w:val="00A13C61"/>
    <w:rsid w:val="00A25CFC"/>
    <w:rsid w:val="00A26644"/>
    <w:rsid w:val="00A266F5"/>
    <w:rsid w:val="00A33786"/>
    <w:rsid w:val="00A34D62"/>
    <w:rsid w:val="00A46E97"/>
    <w:rsid w:val="00A51BB2"/>
    <w:rsid w:val="00A566E8"/>
    <w:rsid w:val="00A62DE6"/>
    <w:rsid w:val="00A64B80"/>
    <w:rsid w:val="00A66984"/>
    <w:rsid w:val="00A759CE"/>
    <w:rsid w:val="00A80366"/>
    <w:rsid w:val="00AA019E"/>
    <w:rsid w:val="00AA63E5"/>
    <w:rsid w:val="00AC6A43"/>
    <w:rsid w:val="00AD02CD"/>
    <w:rsid w:val="00AD7F7C"/>
    <w:rsid w:val="00AE398A"/>
    <w:rsid w:val="00AE6B99"/>
    <w:rsid w:val="00B106E8"/>
    <w:rsid w:val="00B214F8"/>
    <w:rsid w:val="00B24E1E"/>
    <w:rsid w:val="00B31578"/>
    <w:rsid w:val="00B37364"/>
    <w:rsid w:val="00B40A13"/>
    <w:rsid w:val="00B51464"/>
    <w:rsid w:val="00B60BEC"/>
    <w:rsid w:val="00B679AC"/>
    <w:rsid w:val="00B7597E"/>
    <w:rsid w:val="00B9441F"/>
    <w:rsid w:val="00B96C93"/>
    <w:rsid w:val="00BA005D"/>
    <w:rsid w:val="00BE6210"/>
    <w:rsid w:val="00BF40E0"/>
    <w:rsid w:val="00C07806"/>
    <w:rsid w:val="00C10BDA"/>
    <w:rsid w:val="00C25627"/>
    <w:rsid w:val="00C32C69"/>
    <w:rsid w:val="00C34B8B"/>
    <w:rsid w:val="00C415C6"/>
    <w:rsid w:val="00C56441"/>
    <w:rsid w:val="00C6198B"/>
    <w:rsid w:val="00C720B7"/>
    <w:rsid w:val="00C82039"/>
    <w:rsid w:val="00C83D02"/>
    <w:rsid w:val="00C87C34"/>
    <w:rsid w:val="00C907C3"/>
    <w:rsid w:val="00C925A2"/>
    <w:rsid w:val="00CB3A30"/>
    <w:rsid w:val="00CC691C"/>
    <w:rsid w:val="00CD124A"/>
    <w:rsid w:val="00CE5011"/>
    <w:rsid w:val="00CE506D"/>
    <w:rsid w:val="00CF2676"/>
    <w:rsid w:val="00CF68DB"/>
    <w:rsid w:val="00D23BD9"/>
    <w:rsid w:val="00D256A1"/>
    <w:rsid w:val="00D37F92"/>
    <w:rsid w:val="00D41522"/>
    <w:rsid w:val="00D46BEC"/>
    <w:rsid w:val="00D62F2F"/>
    <w:rsid w:val="00D675E1"/>
    <w:rsid w:val="00D75DE3"/>
    <w:rsid w:val="00D917DD"/>
    <w:rsid w:val="00D93A0A"/>
    <w:rsid w:val="00DA114A"/>
    <w:rsid w:val="00DA6329"/>
    <w:rsid w:val="00DA7155"/>
    <w:rsid w:val="00DD3619"/>
    <w:rsid w:val="00DD3DB1"/>
    <w:rsid w:val="00DE43E7"/>
    <w:rsid w:val="00DE4AFE"/>
    <w:rsid w:val="00DF08DE"/>
    <w:rsid w:val="00E048BB"/>
    <w:rsid w:val="00E141EB"/>
    <w:rsid w:val="00E14721"/>
    <w:rsid w:val="00E31623"/>
    <w:rsid w:val="00E33FD5"/>
    <w:rsid w:val="00E34B24"/>
    <w:rsid w:val="00E35319"/>
    <w:rsid w:val="00E36BDC"/>
    <w:rsid w:val="00E6025A"/>
    <w:rsid w:val="00E60B42"/>
    <w:rsid w:val="00E616B4"/>
    <w:rsid w:val="00E658C5"/>
    <w:rsid w:val="00E717A2"/>
    <w:rsid w:val="00E955F8"/>
    <w:rsid w:val="00E9565D"/>
    <w:rsid w:val="00EA0754"/>
    <w:rsid w:val="00EA43F9"/>
    <w:rsid w:val="00EB3D13"/>
    <w:rsid w:val="00EB6ECB"/>
    <w:rsid w:val="00EC18BD"/>
    <w:rsid w:val="00EE3CAA"/>
    <w:rsid w:val="00EE56A3"/>
    <w:rsid w:val="00EF601B"/>
    <w:rsid w:val="00F177FD"/>
    <w:rsid w:val="00F20784"/>
    <w:rsid w:val="00F354AA"/>
    <w:rsid w:val="00F43207"/>
    <w:rsid w:val="00F447BE"/>
    <w:rsid w:val="00F45865"/>
    <w:rsid w:val="00F6260A"/>
    <w:rsid w:val="00F62848"/>
    <w:rsid w:val="00F65F2C"/>
    <w:rsid w:val="00F708D4"/>
    <w:rsid w:val="00F738CA"/>
    <w:rsid w:val="00F74D65"/>
    <w:rsid w:val="00FC0EE2"/>
    <w:rsid w:val="00FC4888"/>
    <w:rsid w:val="00FE398C"/>
    <w:rsid w:val="00FE475B"/>
    <w:rsid w:val="00FF6EF3"/>
    <w:rsid w:val="01081B4E"/>
    <w:rsid w:val="01596278"/>
    <w:rsid w:val="01C57D1C"/>
    <w:rsid w:val="01FF05B0"/>
    <w:rsid w:val="02536577"/>
    <w:rsid w:val="02664130"/>
    <w:rsid w:val="031228B1"/>
    <w:rsid w:val="03E610D4"/>
    <w:rsid w:val="04782E71"/>
    <w:rsid w:val="04847570"/>
    <w:rsid w:val="051508A3"/>
    <w:rsid w:val="051B591E"/>
    <w:rsid w:val="052F4B31"/>
    <w:rsid w:val="05B95C34"/>
    <w:rsid w:val="06770268"/>
    <w:rsid w:val="06DF1470"/>
    <w:rsid w:val="07652000"/>
    <w:rsid w:val="07D56110"/>
    <w:rsid w:val="08B9237E"/>
    <w:rsid w:val="098238E6"/>
    <w:rsid w:val="09954778"/>
    <w:rsid w:val="0A2037DA"/>
    <w:rsid w:val="0A330F10"/>
    <w:rsid w:val="0B1079F9"/>
    <w:rsid w:val="0B504D3A"/>
    <w:rsid w:val="0B93609D"/>
    <w:rsid w:val="0C4F12A8"/>
    <w:rsid w:val="0D9C7FD3"/>
    <w:rsid w:val="0DF95976"/>
    <w:rsid w:val="0E283076"/>
    <w:rsid w:val="0EED6293"/>
    <w:rsid w:val="0F962CFD"/>
    <w:rsid w:val="106D0FD1"/>
    <w:rsid w:val="1149608B"/>
    <w:rsid w:val="116B2777"/>
    <w:rsid w:val="11CB17F4"/>
    <w:rsid w:val="12AB1701"/>
    <w:rsid w:val="12E23DE4"/>
    <w:rsid w:val="13496FE1"/>
    <w:rsid w:val="135E3CF1"/>
    <w:rsid w:val="14377D86"/>
    <w:rsid w:val="14D04D50"/>
    <w:rsid w:val="151C270D"/>
    <w:rsid w:val="158D295A"/>
    <w:rsid w:val="164448D7"/>
    <w:rsid w:val="164B6575"/>
    <w:rsid w:val="166158D1"/>
    <w:rsid w:val="1670470B"/>
    <w:rsid w:val="16994B94"/>
    <w:rsid w:val="16A518F1"/>
    <w:rsid w:val="16D336CE"/>
    <w:rsid w:val="17AF39F4"/>
    <w:rsid w:val="17AF6310"/>
    <w:rsid w:val="17B91E6B"/>
    <w:rsid w:val="18800EE2"/>
    <w:rsid w:val="18B25C08"/>
    <w:rsid w:val="1A8D175E"/>
    <w:rsid w:val="1AB048B2"/>
    <w:rsid w:val="1ABC5FC0"/>
    <w:rsid w:val="1AC530B0"/>
    <w:rsid w:val="1AD46292"/>
    <w:rsid w:val="1B6246D8"/>
    <w:rsid w:val="1B8C019C"/>
    <w:rsid w:val="1B9F0571"/>
    <w:rsid w:val="1BA85456"/>
    <w:rsid w:val="1C4F0C9B"/>
    <w:rsid w:val="1D482959"/>
    <w:rsid w:val="1D8B2F19"/>
    <w:rsid w:val="1D8D14F0"/>
    <w:rsid w:val="1E997C8A"/>
    <w:rsid w:val="1ECF175F"/>
    <w:rsid w:val="1F934114"/>
    <w:rsid w:val="1F960267"/>
    <w:rsid w:val="1FB2228E"/>
    <w:rsid w:val="20406499"/>
    <w:rsid w:val="213328C6"/>
    <w:rsid w:val="21EB3898"/>
    <w:rsid w:val="229B7FE9"/>
    <w:rsid w:val="2347066D"/>
    <w:rsid w:val="234863C1"/>
    <w:rsid w:val="243B4C2F"/>
    <w:rsid w:val="24566781"/>
    <w:rsid w:val="2481150A"/>
    <w:rsid w:val="24A26144"/>
    <w:rsid w:val="25E6626A"/>
    <w:rsid w:val="268D0C36"/>
    <w:rsid w:val="26DD0896"/>
    <w:rsid w:val="27E46FCB"/>
    <w:rsid w:val="28325558"/>
    <w:rsid w:val="28F31BF7"/>
    <w:rsid w:val="29366156"/>
    <w:rsid w:val="299337C1"/>
    <w:rsid w:val="29F6430A"/>
    <w:rsid w:val="2A703C9F"/>
    <w:rsid w:val="2ACB7759"/>
    <w:rsid w:val="2BA73791"/>
    <w:rsid w:val="2BF023E7"/>
    <w:rsid w:val="2C4F6CA3"/>
    <w:rsid w:val="2C6479D8"/>
    <w:rsid w:val="2D2857A9"/>
    <w:rsid w:val="2D9B5DAA"/>
    <w:rsid w:val="2DA31B09"/>
    <w:rsid w:val="2E5557EB"/>
    <w:rsid w:val="2ED362BF"/>
    <w:rsid w:val="2FC51A8B"/>
    <w:rsid w:val="310C674B"/>
    <w:rsid w:val="328E4FBA"/>
    <w:rsid w:val="339B1A2F"/>
    <w:rsid w:val="33A6761F"/>
    <w:rsid w:val="340140EB"/>
    <w:rsid w:val="341A54F7"/>
    <w:rsid w:val="3488543B"/>
    <w:rsid w:val="34D76F03"/>
    <w:rsid w:val="34E03158"/>
    <w:rsid w:val="352F0DFC"/>
    <w:rsid w:val="3593421B"/>
    <w:rsid w:val="35F03F74"/>
    <w:rsid w:val="36994A7E"/>
    <w:rsid w:val="36D11ED3"/>
    <w:rsid w:val="36E0070F"/>
    <w:rsid w:val="373C29F8"/>
    <w:rsid w:val="37521B87"/>
    <w:rsid w:val="38704314"/>
    <w:rsid w:val="393638EC"/>
    <w:rsid w:val="3B7C3B77"/>
    <w:rsid w:val="3C4036DC"/>
    <w:rsid w:val="3C536442"/>
    <w:rsid w:val="3C5A7973"/>
    <w:rsid w:val="3C746327"/>
    <w:rsid w:val="3CBC18B5"/>
    <w:rsid w:val="3CF07220"/>
    <w:rsid w:val="3D19494F"/>
    <w:rsid w:val="3DA14CF9"/>
    <w:rsid w:val="3E110111"/>
    <w:rsid w:val="3E246907"/>
    <w:rsid w:val="3E4B7EE3"/>
    <w:rsid w:val="3F76420D"/>
    <w:rsid w:val="3FB337BE"/>
    <w:rsid w:val="40414322"/>
    <w:rsid w:val="404E190D"/>
    <w:rsid w:val="40FF3E65"/>
    <w:rsid w:val="41723192"/>
    <w:rsid w:val="42A54DAB"/>
    <w:rsid w:val="42B563B4"/>
    <w:rsid w:val="43066FC8"/>
    <w:rsid w:val="4394441A"/>
    <w:rsid w:val="44E7777D"/>
    <w:rsid w:val="45A07744"/>
    <w:rsid w:val="45D54992"/>
    <w:rsid w:val="46EA3B5E"/>
    <w:rsid w:val="47833E2B"/>
    <w:rsid w:val="483C1074"/>
    <w:rsid w:val="48E472C4"/>
    <w:rsid w:val="48F32361"/>
    <w:rsid w:val="494A0E00"/>
    <w:rsid w:val="495F6185"/>
    <w:rsid w:val="4A965C1E"/>
    <w:rsid w:val="4A9F3F16"/>
    <w:rsid w:val="4AF042B1"/>
    <w:rsid w:val="4C650444"/>
    <w:rsid w:val="4CFF70C4"/>
    <w:rsid w:val="4D2D6BD6"/>
    <w:rsid w:val="4DB44DA2"/>
    <w:rsid w:val="4FDD488B"/>
    <w:rsid w:val="50291C6F"/>
    <w:rsid w:val="50EB6B6A"/>
    <w:rsid w:val="517E2685"/>
    <w:rsid w:val="51877B10"/>
    <w:rsid w:val="525E75F5"/>
    <w:rsid w:val="52E80BEB"/>
    <w:rsid w:val="52F72F8E"/>
    <w:rsid w:val="534F3454"/>
    <w:rsid w:val="54C60068"/>
    <w:rsid w:val="550E1758"/>
    <w:rsid w:val="55302C55"/>
    <w:rsid w:val="55347BA9"/>
    <w:rsid w:val="55882DA6"/>
    <w:rsid w:val="560A7BE1"/>
    <w:rsid w:val="56D17758"/>
    <w:rsid w:val="579E1939"/>
    <w:rsid w:val="587D0B6E"/>
    <w:rsid w:val="589A0571"/>
    <w:rsid w:val="597B7BEF"/>
    <w:rsid w:val="59961F3D"/>
    <w:rsid w:val="59F16360"/>
    <w:rsid w:val="5A395127"/>
    <w:rsid w:val="5C414C19"/>
    <w:rsid w:val="5C4365C6"/>
    <w:rsid w:val="5CBB63FC"/>
    <w:rsid w:val="5D021E5D"/>
    <w:rsid w:val="5D075BDA"/>
    <w:rsid w:val="5D484520"/>
    <w:rsid w:val="5DC16011"/>
    <w:rsid w:val="5E6B018A"/>
    <w:rsid w:val="5E6C2A09"/>
    <w:rsid w:val="5F2B22D9"/>
    <w:rsid w:val="5FB86B32"/>
    <w:rsid w:val="605B4C11"/>
    <w:rsid w:val="60D97EB0"/>
    <w:rsid w:val="60F871F3"/>
    <w:rsid w:val="614B4C5E"/>
    <w:rsid w:val="643D0718"/>
    <w:rsid w:val="645C13CE"/>
    <w:rsid w:val="6491211F"/>
    <w:rsid w:val="64A900DB"/>
    <w:rsid w:val="65163A39"/>
    <w:rsid w:val="65E73046"/>
    <w:rsid w:val="65F25193"/>
    <w:rsid w:val="6661620B"/>
    <w:rsid w:val="670009BB"/>
    <w:rsid w:val="67A44056"/>
    <w:rsid w:val="67A9053E"/>
    <w:rsid w:val="67B2688C"/>
    <w:rsid w:val="67E67A99"/>
    <w:rsid w:val="6854011F"/>
    <w:rsid w:val="69AC538A"/>
    <w:rsid w:val="69B9159D"/>
    <w:rsid w:val="69DA09C3"/>
    <w:rsid w:val="6A245C5A"/>
    <w:rsid w:val="6ACE6A2B"/>
    <w:rsid w:val="6B03436A"/>
    <w:rsid w:val="6B84079A"/>
    <w:rsid w:val="6BAE6399"/>
    <w:rsid w:val="6C797180"/>
    <w:rsid w:val="6CAA2736"/>
    <w:rsid w:val="6CAF0B7B"/>
    <w:rsid w:val="6CCE1183"/>
    <w:rsid w:val="6F886912"/>
    <w:rsid w:val="70545232"/>
    <w:rsid w:val="70BF25CC"/>
    <w:rsid w:val="71743F38"/>
    <w:rsid w:val="72390C50"/>
    <w:rsid w:val="72882D68"/>
    <w:rsid w:val="728C14FF"/>
    <w:rsid w:val="72CC459A"/>
    <w:rsid w:val="72E2703E"/>
    <w:rsid w:val="7320074A"/>
    <w:rsid w:val="73652C13"/>
    <w:rsid w:val="74705E21"/>
    <w:rsid w:val="74973458"/>
    <w:rsid w:val="74D703A9"/>
    <w:rsid w:val="751F0F32"/>
    <w:rsid w:val="76D45D23"/>
    <w:rsid w:val="77A94992"/>
    <w:rsid w:val="77EF6265"/>
    <w:rsid w:val="78620F7F"/>
    <w:rsid w:val="79E03796"/>
    <w:rsid w:val="7A2561DC"/>
    <w:rsid w:val="7A5E6088"/>
    <w:rsid w:val="7A6E7E9E"/>
    <w:rsid w:val="7A775386"/>
    <w:rsid w:val="7D362BA5"/>
    <w:rsid w:val="7D5753E5"/>
    <w:rsid w:val="7DA679FD"/>
    <w:rsid w:val="7E19249B"/>
    <w:rsid w:val="7E657137"/>
    <w:rsid w:val="7ECB402F"/>
    <w:rsid w:val="7FED048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left="2" w:leftChars="1" w:firstLine="600" w:firstLineChars="200"/>
    </w:pPr>
    <w:rPr>
      <w:rFonts w:ascii="仿宋_GB2312" w:eastAsia="仿宋_GB2312"/>
      <w:kern w:val="0"/>
      <w:sz w:val="30"/>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8">
    <w:name w:val="Strong"/>
    <w:basedOn w:val="7"/>
    <w:qFormat/>
    <w:uiPriority w:val="99"/>
    <w:rPr>
      <w:rFonts w:cs="Times New Roman"/>
      <w:b/>
    </w:rPr>
  </w:style>
  <w:style w:type="character" w:customStyle="1" w:styleId="9">
    <w:name w:val="页脚 Char"/>
    <w:basedOn w:val="7"/>
    <w:link w:val="3"/>
    <w:qFormat/>
    <w:locked/>
    <w:uiPriority w:val="99"/>
    <w:rPr>
      <w:rFonts w:cs="Times New Roman"/>
      <w:sz w:val="18"/>
      <w:szCs w:val="18"/>
    </w:rPr>
  </w:style>
  <w:style w:type="character" w:customStyle="1" w:styleId="10">
    <w:name w:val="页眉 Char"/>
    <w:basedOn w:val="7"/>
    <w:link w:val="4"/>
    <w:semiHidden/>
    <w:qFormat/>
    <w:locked/>
    <w:uiPriority w:val="99"/>
    <w:rPr>
      <w:rFonts w:cs="Times New Roman"/>
      <w:sz w:val="18"/>
      <w:szCs w:val="18"/>
    </w:rPr>
  </w:style>
  <w:style w:type="paragraph" w:customStyle="1" w:styleId="11">
    <w:name w:val="List Paragraph1"/>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2390</Words>
  <Characters>13625</Characters>
  <Lines>113</Lines>
  <Paragraphs>31</Paragraphs>
  <TotalTime>1</TotalTime>
  <ScaleCrop>false</ScaleCrop>
  <LinksUpToDate>false</LinksUpToDate>
  <CharactersWithSpaces>15984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2021-02-01T00:18:00Z</dcterms:created>
  <dc:creator>刘海</dc:creator>
  <cp:lastModifiedBy>YB</cp:lastModifiedBy>
  <cp:lastPrinted>2021-02-07T07:09:00Z</cp:lastPrinted>
  <dcterms:modified xsi:type="dcterms:W3CDTF">2022-03-07T03:51:14Z</dcterms:modified>
  <cp:revision>248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7A83B8FB721D47CBBFA376531D257072</vt:lpwstr>
  </property>
</Properties>
</file>