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0"/>
        <w:jc w:val="both"/>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tbl>
      <w:tblPr>
        <w:tblStyle w:val="2"/>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6"/>
        <w:gridCol w:w="1468"/>
        <w:gridCol w:w="616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8" w:hRule="atLeast"/>
          <w:jc w:val="center"/>
        </w:trPr>
        <w:tc>
          <w:tcPr>
            <w:tcW w:w="696" w:type="dxa"/>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评审要素</w:t>
            </w:r>
          </w:p>
        </w:tc>
        <w:tc>
          <w:tcPr>
            <w:tcW w:w="1468" w:type="dxa"/>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评审项目</w:t>
            </w:r>
          </w:p>
        </w:tc>
        <w:tc>
          <w:tcPr>
            <w:tcW w:w="6166" w:type="dxa"/>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评审标准</w:t>
            </w:r>
          </w:p>
        </w:tc>
        <w:tc>
          <w:tcPr>
            <w:tcW w:w="902" w:type="dxa"/>
            <w:vAlign w:val="center"/>
          </w:tcPr>
          <w:p>
            <w:pPr>
              <w:widowControl/>
              <w:spacing w:line="360" w:lineRule="auto"/>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8" w:hRule="atLeast"/>
          <w:jc w:val="center"/>
        </w:trPr>
        <w:tc>
          <w:tcPr>
            <w:tcW w:w="696" w:type="dxa"/>
            <w:vMerge w:val="restart"/>
            <w:vAlign w:val="center"/>
          </w:tcPr>
          <w:p>
            <w:pPr>
              <w:widowControl/>
              <w:spacing w:line="360" w:lineRule="auto"/>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技术分</w:t>
            </w:r>
          </w:p>
          <w:p>
            <w:pPr>
              <w:ind w:firstLine="200"/>
              <w:rPr>
                <w:rFonts w:ascii="仿宋" w:hAnsi="仿宋" w:eastAsia="仿宋"/>
                <w:sz w:val="28"/>
                <w:szCs w:val="28"/>
              </w:rPr>
            </w:pPr>
          </w:p>
        </w:tc>
        <w:tc>
          <w:tcPr>
            <w:tcW w:w="1468" w:type="dxa"/>
            <w:vAlign w:val="center"/>
          </w:tcPr>
          <w:p>
            <w:pPr>
              <w:spacing w:line="240" w:lineRule="atLeast"/>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供应商业绩</w:t>
            </w:r>
          </w:p>
        </w:tc>
        <w:tc>
          <w:tcPr>
            <w:tcW w:w="6166" w:type="dxa"/>
            <w:vAlign w:val="center"/>
          </w:tcPr>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kern w:val="0"/>
                <w:sz w:val="28"/>
                <w:szCs w:val="28"/>
              </w:rPr>
            </w:pPr>
            <w:r>
              <w:rPr>
                <w:rFonts w:hint="eastAsia" w:ascii="仿宋" w:hAnsi="仿宋" w:eastAsia="仿宋" w:cs="仿宋"/>
                <w:kern w:val="0"/>
                <w:sz w:val="28"/>
                <w:szCs w:val="28"/>
              </w:rPr>
              <w:t>1.自2021年1月1日以来（以合同签订时间为准），投标人具有地市级及以上医保门诊慢特病网上鉴定系统业绩的，每提供一个业绩得7分，最高得7分。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kern w:val="0"/>
                <w:sz w:val="28"/>
                <w:szCs w:val="28"/>
              </w:rPr>
            </w:pPr>
            <w:r>
              <w:rPr>
                <w:rFonts w:hint="eastAsia" w:ascii="仿宋" w:hAnsi="仿宋" w:eastAsia="仿宋" w:cs="仿宋"/>
                <w:kern w:val="0"/>
                <w:sz w:val="28"/>
                <w:szCs w:val="28"/>
              </w:rPr>
              <w:t>2.自2021年1月1日以来（以合同签订时间为准），投标人具有地市级及以上公共服务能力提升运维服务业绩的，每提供一个业绩得7分，最高得7分。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
                <w:bCs/>
                <w:kern w:val="0"/>
                <w:sz w:val="28"/>
                <w:szCs w:val="28"/>
              </w:rPr>
            </w:pPr>
            <w:r>
              <w:rPr>
                <w:rFonts w:hint="eastAsia" w:ascii="仿宋" w:hAnsi="仿宋" w:eastAsia="仿宋" w:cs="仿宋"/>
                <w:b/>
                <w:kern w:val="0"/>
                <w:sz w:val="28"/>
                <w:szCs w:val="28"/>
              </w:rPr>
              <w:t>注：投标文件中提供中标（成交）通知书和业绩合同扫描件并加盖投标人公章，提供不全不得分。若合同证明材料中无法体现签订时间、服务内容等关键评审因素的，须同时提供业主（合同甲方）证明材料，否则不得分。</w:t>
            </w:r>
          </w:p>
        </w:tc>
        <w:tc>
          <w:tcPr>
            <w:tcW w:w="902" w:type="dxa"/>
            <w:vAlign w:val="center"/>
          </w:tcPr>
          <w:p>
            <w:pPr>
              <w:widowControl/>
              <w:spacing w:line="400" w:lineRule="exact"/>
              <w:ind w:right="53" w:rightChars="25"/>
              <w:jc w:val="left"/>
              <w:rPr>
                <w:rFonts w:ascii="仿宋" w:hAnsi="仿宋" w:eastAsia="仿宋" w:cs="仿宋"/>
                <w:b/>
                <w:kern w:val="0"/>
                <w:sz w:val="28"/>
                <w:szCs w:val="28"/>
              </w:rPr>
            </w:pPr>
            <w:r>
              <w:rPr>
                <w:rFonts w:ascii="仿宋" w:hAnsi="仿宋" w:eastAsia="仿宋" w:cs="仿宋"/>
                <w:b/>
                <w:kern w:val="0"/>
                <w:sz w:val="28"/>
                <w:szCs w:val="28"/>
              </w:rPr>
              <w:t>1</w:t>
            </w:r>
            <w:r>
              <w:rPr>
                <w:rFonts w:hint="eastAsia" w:ascii="仿宋" w:hAnsi="仿宋" w:eastAsia="仿宋" w:cs="仿宋"/>
                <w:b/>
                <w:kern w:val="0"/>
                <w:sz w:val="28"/>
                <w:szCs w:val="2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8" w:hRule="atLeast"/>
          <w:jc w:val="center"/>
        </w:trPr>
        <w:tc>
          <w:tcPr>
            <w:tcW w:w="696" w:type="dxa"/>
            <w:vMerge w:val="continue"/>
            <w:vAlign w:val="center"/>
          </w:tcPr>
          <w:p>
            <w:pPr>
              <w:widowControl/>
              <w:ind w:firstLine="200"/>
              <w:rPr>
                <w:rFonts w:ascii="仿宋" w:hAnsi="仿宋" w:eastAsia="仿宋"/>
                <w:sz w:val="28"/>
                <w:szCs w:val="28"/>
              </w:rPr>
            </w:pPr>
          </w:p>
        </w:tc>
        <w:tc>
          <w:tcPr>
            <w:tcW w:w="1468" w:type="dxa"/>
            <w:vAlign w:val="center"/>
          </w:tcPr>
          <w:p>
            <w:pPr>
              <w:spacing w:line="240" w:lineRule="atLeast"/>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供应商实力</w:t>
            </w:r>
          </w:p>
        </w:tc>
        <w:tc>
          <w:tcPr>
            <w:tcW w:w="6166" w:type="dxa"/>
            <w:vAlign w:val="center"/>
          </w:tcPr>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w:t>
            </w:r>
            <w:r>
              <w:rPr>
                <w:rFonts w:hint="eastAsia" w:ascii="仿宋" w:hAnsi="仿宋" w:eastAsia="仿宋" w:cs="仿宋"/>
                <w:kern w:val="0"/>
                <w:sz w:val="28"/>
                <w:szCs w:val="28"/>
              </w:rPr>
              <w:t>投标人具有有效期内的中国网络安全审查技术与认证中心（原中国信息安全认证中心）颁发的信息安全服务资质认证证书（信息系统安全集成服务资质）的，得6分。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投标人具有有效期内的中国网络安全审查技术与认证中心（原中国信息安全认证中心）颁发的信息安全服务资质认证证书（软件安全开发服务资质）的，得6分。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kern w:val="0"/>
                <w:sz w:val="28"/>
                <w:szCs w:val="28"/>
              </w:rPr>
            </w:pPr>
            <w:r>
              <w:rPr>
                <w:rFonts w:hint="eastAsia" w:ascii="仿宋" w:hAnsi="仿宋" w:eastAsia="仿宋" w:cs="仿宋"/>
                <w:kern w:val="0"/>
                <w:sz w:val="28"/>
                <w:szCs w:val="28"/>
              </w:rPr>
              <w:t>3．投标人具有医保慢性（特殊）病申请鉴定平台软件著作权证书的，得6分。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color w:val="FF0000"/>
                <w:kern w:val="0"/>
                <w:sz w:val="28"/>
                <w:szCs w:val="28"/>
              </w:rPr>
            </w:pPr>
            <w:r>
              <w:rPr>
                <w:rFonts w:hint="eastAsia" w:ascii="仿宋" w:hAnsi="仿宋" w:eastAsia="仿宋" w:cs="仿宋"/>
                <w:b/>
                <w:kern w:val="0"/>
                <w:sz w:val="28"/>
                <w:szCs w:val="28"/>
              </w:rPr>
              <w:t>注：投标文件中提供上述证书扫描件并加盖投标人公章，不提供不得分。</w:t>
            </w:r>
          </w:p>
        </w:tc>
        <w:tc>
          <w:tcPr>
            <w:tcW w:w="902" w:type="dxa"/>
            <w:vAlign w:val="center"/>
          </w:tcPr>
          <w:p>
            <w:pPr>
              <w:widowControl/>
              <w:spacing w:line="4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2" w:hRule="atLeast"/>
          <w:jc w:val="center"/>
        </w:trPr>
        <w:tc>
          <w:tcPr>
            <w:tcW w:w="696" w:type="dxa"/>
            <w:vMerge w:val="continue"/>
            <w:vAlign w:val="center"/>
          </w:tcPr>
          <w:p>
            <w:pPr>
              <w:spacing w:line="360" w:lineRule="auto"/>
              <w:jc w:val="center"/>
              <w:rPr>
                <w:rFonts w:ascii="仿宋" w:hAnsi="仿宋" w:eastAsia="仿宋" w:cs="仿宋"/>
                <w:sz w:val="28"/>
                <w:szCs w:val="28"/>
              </w:rPr>
            </w:pPr>
          </w:p>
        </w:tc>
        <w:tc>
          <w:tcPr>
            <w:tcW w:w="1468" w:type="dxa"/>
            <w:vAlign w:val="center"/>
          </w:tcPr>
          <w:p>
            <w:pPr>
              <w:spacing w:line="240" w:lineRule="atLeast"/>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服务能力</w:t>
            </w:r>
          </w:p>
          <w:p>
            <w:pPr>
              <w:spacing w:line="240" w:lineRule="atLeast"/>
              <w:jc w:val="center"/>
              <w:textAlignment w:val="center"/>
              <w:rPr>
                <w:rFonts w:ascii="仿宋" w:hAnsi="仿宋" w:eastAsia="仿宋" w:cs="仿宋"/>
                <w:b/>
                <w:bCs/>
                <w:color w:val="000000"/>
                <w:kern w:val="0"/>
                <w:sz w:val="28"/>
                <w:szCs w:val="28"/>
              </w:rPr>
            </w:pPr>
          </w:p>
        </w:tc>
        <w:tc>
          <w:tcPr>
            <w:tcW w:w="6166" w:type="dxa"/>
            <w:vAlign w:val="center"/>
          </w:tcPr>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Cs/>
                <w:kern w:val="0"/>
                <w:sz w:val="28"/>
                <w:szCs w:val="28"/>
              </w:rPr>
            </w:pPr>
            <w:r>
              <w:rPr>
                <w:rFonts w:hint="eastAsia" w:ascii="仿宋" w:hAnsi="仿宋" w:eastAsia="仿宋" w:cs="仿宋"/>
                <w:bCs/>
                <w:kern w:val="0"/>
                <w:sz w:val="28"/>
                <w:szCs w:val="28"/>
              </w:rPr>
              <w:t>一、拟为本项目配备的</w:t>
            </w:r>
            <w:r>
              <w:rPr>
                <w:rFonts w:hint="eastAsia" w:ascii="仿宋" w:hAnsi="仿宋" w:eastAsia="仿宋" w:cs="仿宋"/>
                <w:bCs/>
                <w:kern w:val="0"/>
                <w:sz w:val="28"/>
                <w:szCs w:val="28"/>
                <w:lang w:eastAsia="zh-CN"/>
              </w:rPr>
              <w:t>驻场</w:t>
            </w:r>
            <w:r>
              <w:rPr>
                <w:rFonts w:hint="eastAsia" w:ascii="仿宋" w:hAnsi="仿宋" w:eastAsia="仿宋" w:cs="仿宋"/>
                <w:bCs/>
                <w:kern w:val="0"/>
                <w:sz w:val="28"/>
                <w:szCs w:val="28"/>
              </w:rPr>
              <w:t>项目经理（1人）：</w:t>
            </w:r>
            <w:r>
              <w:rPr>
                <w:rFonts w:hint="eastAsia" w:ascii="仿宋" w:hAnsi="仿宋" w:eastAsia="仿宋" w:cs="仿宋"/>
                <w:b/>
                <w:kern w:val="0"/>
                <w:sz w:val="28"/>
                <w:szCs w:val="28"/>
              </w:rPr>
              <w:t>（满分</w:t>
            </w:r>
            <w:r>
              <w:rPr>
                <w:rFonts w:ascii="仿宋" w:hAnsi="仿宋" w:eastAsia="仿宋" w:cs="仿宋"/>
                <w:b/>
                <w:kern w:val="0"/>
                <w:sz w:val="28"/>
                <w:szCs w:val="28"/>
              </w:rPr>
              <w:t>6</w:t>
            </w:r>
            <w:r>
              <w:rPr>
                <w:rFonts w:hint="eastAsia" w:ascii="仿宋" w:hAnsi="仿宋" w:eastAsia="仿宋" w:cs="仿宋"/>
                <w:b/>
                <w:kern w:val="0"/>
                <w:sz w:val="28"/>
                <w:szCs w:val="28"/>
              </w:rPr>
              <w:t xml:space="preserve">分） </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Cs/>
                <w:kern w:val="0"/>
                <w:sz w:val="28"/>
                <w:szCs w:val="28"/>
              </w:rPr>
            </w:pPr>
            <w:r>
              <w:rPr>
                <w:rFonts w:hint="eastAsia" w:ascii="仿宋" w:hAnsi="仿宋" w:eastAsia="仿宋" w:cs="仿宋"/>
                <w:bCs/>
                <w:kern w:val="0"/>
                <w:sz w:val="28"/>
                <w:szCs w:val="28"/>
              </w:rPr>
              <w:t>1</w:t>
            </w:r>
            <w:r>
              <w:rPr>
                <w:rFonts w:ascii="仿宋" w:hAnsi="仿宋" w:eastAsia="仿宋" w:cs="仿宋"/>
                <w:bCs/>
                <w:kern w:val="0"/>
                <w:sz w:val="28"/>
                <w:szCs w:val="28"/>
              </w:rPr>
              <w:t>.</w:t>
            </w:r>
            <w:r>
              <w:rPr>
                <w:rFonts w:hint="eastAsia" w:ascii="仿宋" w:hAnsi="仿宋" w:eastAsia="仿宋" w:cs="仿宋"/>
                <w:bCs/>
                <w:kern w:val="0"/>
                <w:sz w:val="28"/>
                <w:szCs w:val="28"/>
              </w:rPr>
              <w:t>具有有效的系统集成项目管理工程师（中级）及以上证书的，得</w:t>
            </w:r>
            <w:r>
              <w:rPr>
                <w:rFonts w:ascii="仿宋" w:hAnsi="仿宋" w:eastAsia="仿宋" w:cs="仿宋"/>
                <w:bCs/>
                <w:kern w:val="0"/>
                <w:sz w:val="28"/>
                <w:szCs w:val="28"/>
              </w:rPr>
              <w:t>3</w:t>
            </w:r>
            <w:r>
              <w:rPr>
                <w:rFonts w:hint="eastAsia" w:ascii="仿宋" w:hAnsi="仿宋" w:eastAsia="仿宋" w:cs="仿宋"/>
                <w:bCs/>
                <w:kern w:val="0"/>
                <w:sz w:val="28"/>
                <w:szCs w:val="28"/>
              </w:rPr>
              <w:t>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Cs/>
                <w:kern w:val="0"/>
                <w:sz w:val="28"/>
                <w:szCs w:val="28"/>
              </w:rPr>
            </w:pPr>
            <w:r>
              <w:rPr>
                <w:rFonts w:hint="eastAsia" w:ascii="仿宋" w:hAnsi="仿宋" w:eastAsia="仿宋" w:cs="仿宋"/>
                <w:bCs/>
                <w:kern w:val="0"/>
                <w:sz w:val="28"/>
                <w:szCs w:val="28"/>
              </w:rPr>
              <w:t>2</w:t>
            </w:r>
            <w:r>
              <w:rPr>
                <w:rFonts w:ascii="仿宋" w:hAnsi="仿宋" w:eastAsia="仿宋" w:cs="仿宋"/>
                <w:bCs/>
                <w:kern w:val="0"/>
                <w:sz w:val="28"/>
                <w:szCs w:val="28"/>
              </w:rPr>
              <w:t>.</w:t>
            </w:r>
            <w:r>
              <w:rPr>
                <w:rFonts w:hint="eastAsia" w:ascii="仿宋" w:hAnsi="仿宋" w:eastAsia="仿宋" w:cs="仿宋"/>
                <w:bCs/>
                <w:kern w:val="0"/>
                <w:sz w:val="28"/>
                <w:szCs w:val="28"/>
              </w:rPr>
              <w:t>具有有效的数据库系统工程师（中级）证书的，得</w:t>
            </w:r>
            <w:r>
              <w:rPr>
                <w:rFonts w:ascii="仿宋" w:hAnsi="仿宋" w:eastAsia="仿宋" w:cs="仿宋"/>
                <w:bCs/>
                <w:kern w:val="0"/>
                <w:sz w:val="28"/>
                <w:szCs w:val="28"/>
              </w:rPr>
              <w:t>3</w:t>
            </w:r>
            <w:r>
              <w:rPr>
                <w:rFonts w:hint="eastAsia" w:ascii="仿宋" w:hAnsi="仿宋" w:eastAsia="仿宋" w:cs="仿宋"/>
                <w:bCs/>
                <w:kern w:val="0"/>
                <w:sz w:val="28"/>
                <w:szCs w:val="28"/>
              </w:rPr>
              <w:t>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Cs/>
                <w:kern w:val="0"/>
                <w:sz w:val="28"/>
                <w:szCs w:val="28"/>
              </w:rPr>
            </w:pPr>
            <w:r>
              <w:rPr>
                <w:rFonts w:hint="eastAsia" w:ascii="仿宋" w:hAnsi="仿宋" w:eastAsia="仿宋" w:cs="仿宋"/>
                <w:bCs/>
                <w:kern w:val="0"/>
                <w:sz w:val="28"/>
                <w:szCs w:val="28"/>
              </w:rPr>
              <w:t>二、其他</w:t>
            </w:r>
            <w:r>
              <w:rPr>
                <w:rFonts w:hint="eastAsia" w:ascii="仿宋" w:hAnsi="仿宋" w:eastAsia="仿宋" w:cs="仿宋"/>
                <w:bCs/>
                <w:kern w:val="0"/>
                <w:sz w:val="28"/>
                <w:szCs w:val="28"/>
                <w:lang w:eastAsia="zh-CN"/>
              </w:rPr>
              <w:t>保障</w:t>
            </w:r>
            <w:bookmarkStart w:id="0" w:name="_GoBack"/>
            <w:bookmarkEnd w:id="0"/>
            <w:r>
              <w:rPr>
                <w:rFonts w:hint="eastAsia" w:ascii="仿宋" w:hAnsi="仿宋" w:eastAsia="仿宋" w:cs="仿宋"/>
                <w:bCs/>
                <w:kern w:val="0"/>
                <w:sz w:val="28"/>
                <w:szCs w:val="28"/>
              </w:rPr>
              <w:t>人员（不含</w:t>
            </w:r>
            <w:r>
              <w:rPr>
                <w:rFonts w:hint="eastAsia" w:ascii="仿宋" w:hAnsi="仿宋" w:eastAsia="仿宋" w:cs="仿宋"/>
                <w:bCs/>
                <w:kern w:val="0"/>
                <w:sz w:val="28"/>
                <w:szCs w:val="28"/>
                <w:lang w:eastAsia="zh-CN"/>
              </w:rPr>
              <w:t>驻场</w:t>
            </w:r>
            <w:r>
              <w:rPr>
                <w:rFonts w:hint="eastAsia" w:ascii="仿宋" w:hAnsi="仿宋" w:eastAsia="仿宋" w:cs="仿宋"/>
                <w:bCs/>
                <w:kern w:val="0"/>
                <w:sz w:val="28"/>
                <w:szCs w:val="28"/>
              </w:rPr>
              <w:t>项目经理）：</w:t>
            </w:r>
            <w:r>
              <w:rPr>
                <w:rFonts w:hint="eastAsia" w:ascii="仿宋" w:hAnsi="仿宋" w:eastAsia="仿宋" w:cs="仿宋"/>
                <w:b/>
                <w:kern w:val="0"/>
                <w:sz w:val="28"/>
                <w:szCs w:val="28"/>
              </w:rPr>
              <w:t>（满分</w:t>
            </w:r>
            <w:r>
              <w:rPr>
                <w:rFonts w:ascii="仿宋" w:hAnsi="仿宋" w:eastAsia="仿宋" w:cs="仿宋"/>
                <w:b/>
                <w:kern w:val="0"/>
                <w:sz w:val="28"/>
                <w:szCs w:val="28"/>
              </w:rPr>
              <w:t>12</w:t>
            </w:r>
            <w:r>
              <w:rPr>
                <w:rFonts w:hint="eastAsia" w:ascii="仿宋" w:hAnsi="仿宋" w:eastAsia="仿宋" w:cs="仿宋"/>
                <w:b/>
                <w:kern w:val="0"/>
                <w:sz w:val="28"/>
                <w:szCs w:val="28"/>
              </w:rPr>
              <w:t>分）</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Cs/>
                <w:kern w:val="0"/>
                <w:sz w:val="28"/>
                <w:szCs w:val="28"/>
              </w:rPr>
            </w:pPr>
            <w:r>
              <w:rPr>
                <w:rFonts w:hint="eastAsia" w:ascii="仿宋" w:hAnsi="仿宋" w:eastAsia="仿宋" w:cs="仿宋"/>
                <w:bCs/>
                <w:kern w:val="0"/>
                <w:sz w:val="28"/>
                <w:szCs w:val="28"/>
                <w:lang w:eastAsia="zh-Hans"/>
              </w:rPr>
              <w:t>具有软件设计师、软件测试工程师</w:t>
            </w:r>
            <w:r>
              <w:rPr>
                <w:rFonts w:hint="eastAsia" w:ascii="仿宋" w:hAnsi="仿宋" w:eastAsia="仿宋" w:cs="仿宋"/>
                <w:bCs/>
                <w:kern w:val="0"/>
                <w:sz w:val="28"/>
                <w:szCs w:val="28"/>
              </w:rPr>
              <w:t>、</w:t>
            </w:r>
            <w:r>
              <w:rPr>
                <w:rFonts w:hint="eastAsia" w:ascii="仿宋" w:hAnsi="仿宋" w:eastAsia="仿宋" w:cs="仿宋"/>
                <w:bCs/>
                <w:kern w:val="0"/>
                <w:sz w:val="28"/>
                <w:szCs w:val="28"/>
                <w:lang w:eastAsia="zh-Hans"/>
              </w:rPr>
              <w:t>系统分析师、注册信息安全开发人员（CIS</w:t>
            </w:r>
            <w:r>
              <w:rPr>
                <w:rFonts w:hint="eastAsia" w:ascii="仿宋" w:hAnsi="仿宋" w:eastAsia="仿宋" w:cs="仿宋"/>
                <w:bCs/>
                <w:kern w:val="0"/>
                <w:sz w:val="28"/>
                <w:szCs w:val="28"/>
              </w:rPr>
              <w:t>D</w:t>
            </w:r>
            <w:r>
              <w:rPr>
                <w:rFonts w:hint="eastAsia" w:ascii="仿宋" w:hAnsi="仿宋" w:eastAsia="仿宋" w:cs="仿宋"/>
                <w:bCs/>
                <w:kern w:val="0"/>
                <w:sz w:val="28"/>
                <w:szCs w:val="28"/>
                <w:lang w:eastAsia="zh-Hans"/>
              </w:rPr>
              <w:t>）、</w:t>
            </w:r>
            <w:r>
              <w:rPr>
                <w:rFonts w:hint="eastAsia" w:ascii="仿宋" w:hAnsi="仿宋" w:eastAsia="仿宋" w:cs="仿宋"/>
                <w:bCs/>
                <w:kern w:val="0"/>
                <w:sz w:val="28"/>
                <w:szCs w:val="28"/>
              </w:rPr>
              <w:t>系统集成项目管理工程师（中级）、</w:t>
            </w:r>
            <w:r>
              <w:rPr>
                <w:rFonts w:hint="eastAsia" w:ascii="仿宋" w:hAnsi="仿宋" w:eastAsia="仿宋" w:cs="仿宋"/>
                <w:bCs/>
                <w:kern w:val="0"/>
                <w:sz w:val="28"/>
                <w:szCs w:val="28"/>
                <w:lang w:eastAsia="zh-Hans"/>
              </w:rPr>
              <w:t>数据库系统工程师证书</w:t>
            </w:r>
            <w:r>
              <w:rPr>
                <w:rFonts w:hint="eastAsia" w:ascii="仿宋" w:hAnsi="仿宋" w:eastAsia="仿宋" w:cs="仿宋"/>
                <w:bCs/>
                <w:kern w:val="0"/>
                <w:sz w:val="28"/>
                <w:szCs w:val="28"/>
              </w:rPr>
              <w:t>的，</w:t>
            </w:r>
            <w:r>
              <w:rPr>
                <w:rFonts w:hint="eastAsia" w:ascii="仿宋" w:hAnsi="仿宋" w:eastAsia="仿宋" w:cs="仿宋"/>
                <w:bCs/>
                <w:kern w:val="0"/>
                <w:sz w:val="28"/>
                <w:szCs w:val="28"/>
                <w:lang w:eastAsia="zh-Hans"/>
              </w:rPr>
              <w:t>每提供1项得</w:t>
            </w:r>
            <w:r>
              <w:rPr>
                <w:rFonts w:ascii="仿宋" w:hAnsi="仿宋" w:eastAsia="仿宋" w:cs="仿宋"/>
                <w:bCs/>
                <w:kern w:val="0"/>
                <w:sz w:val="28"/>
                <w:szCs w:val="28"/>
                <w:lang w:eastAsia="zh-Hans"/>
              </w:rPr>
              <w:t>2</w:t>
            </w:r>
            <w:r>
              <w:rPr>
                <w:rFonts w:hint="eastAsia" w:ascii="仿宋" w:hAnsi="仿宋" w:eastAsia="仿宋" w:cs="仿宋"/>
                <w:bCs/>
                <w:kern w:val="0"/>
                <w:sz w:val="28"/>
                <w:szCs w:val="28"/>
                <w:lang w:eastAsia="zh-Hans"/>
              </w:rPr>
              <w:t>分，</w:t>
            </w:r>
            <w:r>
              <w:rPr>
                <w:rFonts w:hint="eastAsia" w:ascii="仿宋" w:hAnsi="仿宋" w:eastAsia="仿宋" w:cs="仿宋"/>
                <w:bCs/>
                <w:kern w:val="0"/>
                <w:sz w:val="28"/>
                <w:szCs w:val="28"/>
              </w:rPr>
              <w:t>最高得</w:t>
            </w:r>
            <w:r>
              <w:rPr>
                <w:rFonts w:ascii="仿宋" w:hAnsi="仿宋" w:eastAsia="仿宋" w:cs="仿宋"/>
                <w:bCs/>
                <w:kern w:val="0"/>
                <w:sz w:val="28"/>
                <w:szCs w:val="28"/>
              </w:rPr>
              <w:t>12</w:t>
            </w:r>
            <w:r>
              <w:rPr>
                <w:rFonts w:hint="eastAsia" w:ascii="仿宋" w:hAnsi="仿宋" w:eastAsia="仿宋" w:cs="仿宋"/>
                <w:bCs/>
                <w:kern w:val="0"/>
                <w:sz w:val="28"/>
                <w:szCs w:val="28"/>
              </w:rPr>
              <w:t xml:space="preserve">分。 </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注：上述人员不得兼任，投标文件中同时提供以下证明材料：</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（1）上述人员证书扫描件并加盖投标人公章；</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（2）人员名单（格式自拟）；</w:t>
            </w:r>
          </w:p>
          <w:p>
            <w:pPr>
              <w:keepNext w:val="0"/>
              <w:keepLines w:val="0"/>
              <w:pageBreakBefore w:val="0"/>
              <w:widowControl/>
              <w:kinsoku/>
              <w:wordWrap/>
              <w:overflowPunct/>
              <w:topLinePunct w:val="0"/>
              <w:autoSpaceDE/>
              <w:autoSpaceDN/>
              <w:bidi w:val="0"/>
              <w:adjustRightInd/>
              <w:spacing w:line="6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（3）投标人为上述人员缴纳的近6个月内（任意连续三个月）的社保证明材料并加盖投标人公章。</w:t>
            </w:r>
          </w:p>
        </w:tc>
        <w:tc>
          <w:tcPr>
            <w:tcW w:w="902" w:type="dxa"/>
            <w:vAlign w:val="center"/>
          </w:tcPr>
          <w:p>
            <w:pPr>
              <w:widowControl/>
              <w:spacing w:line="400" w:lineRule="exact"/>
              <w:ind w:right="53" w:rightChars="25"/>
              <w:jc w:val="left"/>
              <w:rPr>
                <w:rFonts w:ascii="仿宋" w:hAnsi="仿宋" w:eastAsia="仿宋" w:cs="仿宋"/>
                <w:b/>
                <w:kern w:val="0"/>
                <w:sz w:val="28"/>
                <w:szCs w:val="28"/>
              </w:rPr>
            </w:pPr>
            <w:r>
              <w:rPr>
                <w:rFonts w:hint="eastAsia" w:ascii="仿宋" w:hAnsi="仿宋" w:eastAsia="仿宋" w:cs="仿宋"/>
                <w:b/>
                <w:kern w:val="0"/>
                <w:sz w:val="28"/>
                <w:szCs w:val="28"/>
              </w:rPr>
              <w:t>1</w:t>
            </w:r>
            <w:r>
              <w:rPr>
                <w:rFonts w:ascii="仿宋" w:hAnsi="仿宋" w:eastAsia="仿宋" w:cs="仿宋"/>
                <w:b/>
                <w:kern w:val="0"/>
                <w:sz w:val="28"/>
                <w:szCs w:val="28"/>
              </w:rPr>
              <w:t>8</w:t>
            </w:r>
            <w:r>
              <w:rPr>
                <w:rFonts w:hint="eastAsia" w:ascii="仿宋" w:hAnsi="仿宋" w:eastAsia="仿宋" w:cs="仿宋"/>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9" w:hRule="atLeast"/>
          <w:jc w:val="center"/>
        </w:trPr>
        <w:tc>
          <w:tcPr>
            <w:tcW w:w="696" w:type="dxa"/>
            <w:vMerge w:val="continue"/>
            <w:vAlign w:val="center"/>
          </w:tcPr>
          <w:p>
            <w:pPr>
              <w:spacing w:line="360" w:lineRule="auto"/>
              <w:jc w:val="center"/>
              <w:rPr>
                <w:rFonts w:ascii="仿宋" w:hAnsi="仿宋" w:eastAsia="仿宋" w:cs="仿宋"/>
                <w:sz w:val="28"/>
                <w:szCs w:val="28"/>
              </w:rPr>
            </w:pPr>
          </w:p>
        </w:tc>
        <w:tc>
          <w:tcPr>
            <w:tcW w:w="1468" w:type="dxa"/>
            <w:vAlign w:val="center"/>
          </w:tcPr>
          <w:p>
            <w:pPr>
              <w:spacing w:line="360" w:lineRule="auto"/>
              <w:jc w:val="center"/>
              <w:rPr>
                <w:rFonts w:ascii="仿宋" w:hAnsi="仿宋" w:eastAsia="仿宋" w:cs="仿宋"/>
                <w:kern w:val="1"/>
                <w:sz w:val="28"/>
                <w:szCs w:val="28"/>
              </w:rPr>
            </w:pPr>
            <w:r>
              <w:rPr>
                <w:rFonts w:hint="eastAsia" w:ascii="仿宋" w:hAnsi="仿宋" w:eastAsia="仿宋" w:cs="仿宋"/>
                <w:b/>
                <w:bCs/>
                <w:kern w:val="1"/>
                <w:sz w:val="28"/>
                <w:szCs w:val="28"/>
              </w:rPr>
              <w:t>方案设计</w:t>
            </w:r>
          </w:p>
        </w:tc>
        <w:tc>
          <w:tcPr>
            <w:tcW w:w="6166" w:type="dxa"/>
            <w:vAlign w:val="center"/>
          </w:tcPr>
          <w:p>
            <w:pPr>
              <w:keepNext w:val="0"/>
              <w:keepLines w:val="0"/>
              <w:pageBreakBefore w:val="0"/>
              <w:kinsoku/>
              <w:wordWrap/>
              <w:overflowPunct/>
              <w:topLinePunct w:val="0"/>
              <w:autoSpaceDE/>
              <w:autoSpaceDN/>
              <w:bidi w:val="0"/>
              <w:adjustRightInd/>
              <w:snapToGrid w:val="0"/>
              <w:spacing w:line="600" w:lineRule="exact"/>
              <w:rPr>
                <w:rFonts w:ascii="仿宋" w:hAnsi="仿宋" w:eastAsia="仿宋"/>
                <w:b/>
                <w:sz w:val="28"/>
                <w:szCs w:val="28"/>
              </w:rPr>
            </w:pPr>
            <w:r>
              <w:rPr>
                <w:rFonts w:hint="eastAsia" w:ascii="仿宋" w:hAnsi="仿宋" w:eastAsia="仿宋"/>
                <w:b/>
                <w:sz w:val="28"/>
                <w:szCs w:val="28"/>
              </w:rPr>
              <w:t>（一）投标人对安徽省医疗保障信息平台医保门诊慢特病网上鉴定模块建设要求和总体思路、本项目采购需求等方面的理解情况进行阐述，由评委进行综合评审：（此项满分6分）</w:t>
            </w:r>
          </w:p>
          <w:p>
            <w:pPr>
              <w:keepNext w:val="0"/>
              <w:keepLines w:val="0"/>
              <w:pageBreakBefore w:val="0"/>
              <w:kinsoku/>
              <w:wordWrap/>
              <w:overflowPunct/>
              <w:topLinePunct w:val="0"/>
              <w:autoSpaceDE/>
              <w:autoSpaceDN/>
              <w:bidi w:val="0"/>
              <w:adjustRightInd/>
              <w:snapToGrid w:val="0"/>
              <w:spacing w:line="600" w:lineRule="exact"/>
              <w:rPr>
                <w:rFonts w:ascii="仿宋" w:hAnsi="仿宋" w:eastAsia="仿宋"/>
                <w:bCs/>
                <w:sz w:val="28"/>
                <w:szCs w:val="28"/>
              </w:rPr>
            </w:pPr>
            <w:r>
              <w:rPr>
                <w:rFonts w:hint="eastAsia" w:ascii="仿宋" w:hAnsi="仿宋" w:eastAsia="仿宋"/>
                <w:bCs/>
                <w:sz w:val="28"/>
                <w:szCs w:val="28"/>
              </w:rPr>
              <w:t>1.对安徽省医疗保障信息平台医保门诊慢特病网上鉴定模块建设要求理解充分，对本项目总体建设思路、建设要求技术要求、技术规范和业务规范等理解透彻整体论述完整，重难点分析准确透彻的，得5-6分；</w:t>
            </w:r>
          </w:p>
          <w:p>
            <w:pPr>
              <w:keepNext w:val="0"/>
              <w:keepLines w:val="0"/>
              <w:pageBreakBefore w:val="0"/>
              <w:kinsoku/>
              <w:wordWrap/>
              <w:overflowPunct/>
              <w:topLinePunct w:val="0"/>
              <w:autoSpaceDE/>
              <w:autoSpaceDN/>
              <w:bidi w:val="0"/>
              <w:adjustRightInd/>
              <w:snapToGrid w:val="0"/>
              <w:spacing w:line="600" w:lineRule="exact"/>
              <w:rPr>
                <w:rFonts w:ascii="仿宋" w:hAnsi="仿宋" w:eastAsia="仿宋"/>
                <w:bCs/>
                <w:sz w:val="28"/>
                <w:szCs w:val="28"/>
              </w:rPr>
            </w:pPr>
            <w:r>
              <w:rPr>
                <w:rFonts w:hint="eastAsia" w:ascii="仿宋" w:hAnsi="仿宋" w:eastAsia="仿宋"/>
                <w:bCs/>
                <w:sz w:val="28"/>
                <w:szCs w:val="28"/>
              </w:rPr>
              <w:t>2.对安徽省医疗保障信息平台医保门诊慢特病网上鉴定模块建设要求理解较充分，对本项目总体建设思路、建设要求、技术要求、技术规范和业务规范等有一定理解，整体论述较为完整，重难点分析较为准确的，得2-4分；</w:t>
            </w:r>
          </w:p>
          <w:p>
            <w:pPr>
              <w:keepNext w:val="0"/>
              <w:keepLines w:val="0"/>
              <w:pageBreakBefore w:val="0"/>
              <w:kinsoku/>
              <w:wordWrap/>
              <w:overflowPunct/>
              <w:topLinePunct w:val="0"/>
              <w:autoSpaceDE/>
              <w:autoSpaceDN/>
              <w:bidi w:val="0"/>
              <w:adjustRightInd/>
              <w:snapToGrid w:val="0"/>
              <w:spacing w:line="600" w:lineRule="exact"/>
              <w:rPr>
                <w:rFonts w:ascii="仿宋" w:hAnsi="仿宋" w:eastAsia="仿宋"/>
                <w:bCs/>
                <w:sz w:val="28"/>
                <w:szCs w:val="28"/>
              </w:rPr>
            </w:pPr>
            <w:r>
              <w:rPr>
                <w:rFonts w:hint="eastAsia" w:ascii="仿宋" w:hAnsi="仿宋" w:eastAsia="仿宋"/>
                <w:bCs/>
                <w:sz w:val="28"/>
                <w:szCs w:val="28"/>
              </w:rPr>
              <w:t>3.对安徽省医疗保障信息平台医保门诊慢特病网上鉴定模块建设要求理解较差，对本项目总体建设思路、建设要求、技术要求、技术规范和业务规范等不了解，论述不完整，重难点分析不准确的，得0-1分。</w:t>
            </w:r>
          </w:p>
          <w:p>
            <w:pPr>
              <w:keepNext w:val="0"/>
              <w:keepLines w:val="0"/>
              <w:pageBreakBefore w:val="0"/>
              <w:widowControl/>
              <w:kinsoku/>
              <w:wordWrap/>
              <w:overflowPunct/>
              <w:topLinePunct w:val="0"/>
              <w:autoSpaceDE/>
              <w:autoSpaceDN/>
              <w:bidi w:val="0"/>
              <w:adjustRightInd/>
              <w:spacing w:line="600" w:lineRule="exact"/>
              <w:textAlignment w:val="center"/>
              <w:rPr>
                <w:rFonts w:ascii="仿宋" w:hAnsi="仿宋" w:eastAsia="仿宋"/>
                <w:b/>
                <w:sz w:val="28"/>
                <w:szCs w:val="28"/>
              </w:rPr>
            </w:pPr>
            <w:r>
              <w:rPr>
                <w:rFonts w:hint="eastAsia" w:ascii="仿宋" w:hAnsi="仿宋" w:eastAsia="仿宋"/>
                <w:b/>
                <w:sz w:val="28"/>
                <w:szCs w:val="28"/>
              </w:rPr>
              <w:t>（二）结合本项目特点制定项目实施计划，提供项目管理方案（至少包括项目管理、项目实施、项目建设资源配置、进度控制、质量保障管理方案），由评委进行综合评审：（此项满分6分）</w:t>
            </w:r>
          </w:p>
          <w:p>
            <w:pPr>
              <w:keepNext w:val="0"/>
              <w:keepLines w:val="0"/>
              <w:pageBreakBefore w:val="0"/>
              <w:widowControl/>
              <w:kinsoku/>
              <w:wordWrap/>
              <w:overflowPunct/>
              <w:topLinePunct w:val="0"/>
              <w:autoSpaceDE/>
              <w:autoSpaceDN/>
              <w:bidi w:val="0"/>
              <w:adjustRightInd/>
              <w:spacing w:line="600" w:lineRule="exact"/>
              <w:textAlignment w:val="center"/>
              <w:rPr>
                <w:rFonts w:ascii="仿宋" w:hAnsi="仿宋" w:eastAsia="仿宋"/>
                <w:bCs/>
                <w:sz w:val="28"/>
                <w:szCs w:val="28"/>
              </w:rPr>
            </w:pPr>
            <w:r>
              <w:rPr>
                <w:rFonts w:hint="eastAsia" w:ascii="仿宋" w:hAnsi="仿宋" w:eastAsia="仿宋"/>
                <w:bCs/>
                <w:sz w:val="28"/>
                <w:szCs w:val="28"/>
              </w:rPr>
              <w:t>（1）内容完整且可行性高、安排合理的，5-6分；</w:t>
            </w:r>
          </w:p>
          <w:p>
            <w:pPr>
              <w:keepNext w:val="0"/>
              <w:keepLines w:val="0"/>
              <w:pageBreakBefore w:val="0"/>
              <w:widowControl/>
              <w:kinsoku/>
              <w:wordWrap/>
              <w:overflowPunct/>
              <w:topLinePunct w:val="0"/>
              <w:autoSpaceDE/>
              <w:autoSpaceDN/>
              <w:bidi w:val="0"/>
              <w:adjustRightInd/>
              <w:spacing w:line="600" w:lineRule="exact"/>
              <w:textAlignment w:val="center"/>
              <w:rPr>
                <w:rFonts w:ascii="仿宋" w:hAnsi="仿宋" w:eastAsia="仿宋"/>
                <w:bCs/>
                <w:sz w:val="28"/>
                <w:szCs w:val="28"/>
              </w:rPr>
            </w:pPr>
            <w:r>
              <w:rPr>
                <w:rFonts w:hint="eastAsia" w:ascii="仿宋" w:hAnsi="仿宋" w:eastAsia="仿宋"/>
                <w:bCs/>
                <w:sz w:val="28"/>
                <w:szCs w:val="28"/>
              </w:rPr>
              <w:t>（2）内容较为完整、可行性较高或项目安排较合理的，得得2-4分；</w:t>
            </w:r>
          </w:p>
          <w:p>
            <w:pPr>
              <w:keepNext w:val="0"/>
              <w:keepLines w:val="0"/>
              <w:pageBreakBefore w:val="0"/>
              <w:kinsoku/>
              <w:wordWrap/>
              <w:overflowPunct/>
              <w:topLinePunct w:val="0"/>
              <w:autoSpaceDE/>
              <w:autoSpaceDN/>
              <w:bidi w:val="0"/>
              <w:adjustRightInd/>
              <w:snapToGrid w:val="0"/>
              <w:spacing w:line="600" w:lineRule="exact"/>
              <w:rPr>
                <w:rFonts w:ascii="仿宋" w:hAnsi="仿宋" w:eastAsia="仿宋"/>
                <w:sz w:val="28"/>
                <w:szCs w:val="28"/>
              </w:rPr>
            </w:pPr>
            <w:r>
              <w:rPr>
                <w:rFonts w:hint="eastAsia" w:ascii="仿宋" w:hAnsi="仿宋" w:eastAsia="仿宋"/>
                <w:bCs/>
                <w:sz w:val="28"/>
                <w:szCs w:val="28"/>
              </w:rPr>
              <w:t>（3）不提供或内容缺项的，得0-1分。</w:t>
            </w:r>
          </w:p>
        </w:tc>
        <w:tc>
          <w:tcPr>
            <w:tcW w:w="902" w:type="dxa"/>
            <w:vAlign w:val="center"/>
          </w:tcPr>
          <w:p>
            <w:pPr>
              <w:widowControl/>
              <w:spacing w:line="300" w:lineRule="exact"/>
              <w:rPr>
                <w:rFonts w:ascii="仿宋" w:hAnsi="仿宋" w:eastAsia="仿宋" w:cs="仿宋"/>
                <w:b/>
                <w:bCs/>
                <w:kern w:val="0"/>
                <w:sz w:val="28"/>
                <w:szCs w:val="28"/>
              </w:rPr>
            </w:pPr>
            <w:r>
              <w:rPr>
                <w:rFonts w:hint="eastAsia" w:ascii="仿宋" w:hAnsi="仿宋" w:eastAsia="仿宋" w:cs="仿宋"/>
                <w:b/>
                <w:bCs/>
                <w:kern w:val="0"/>
                <w:sz w:val="28"/>
                <w:szCs w:val="28"/>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18" w:hRule="atLeast"/>
          <w:jc w:val="center"/>
        </w:trPr>
        <w:tc>
          <w:tcPr>
            <w:tcW w:w="696" w:type="dxa"/>
            <w:vMerge w:val="continue"/>
            <w:vAlign w:val="center"/>
          </w:tcPr>
          <w:p>
            <w:pPr>
              <w:widowControl/>
              <w:spacing w:line="360" w:lineRule="auto"/>
              <w:jc w:val="center"/>
              <w:textAlignment w:val="center"/>
              <w:rPr>
                <w:rFonts w:ascii="仿宋" w:hAnsi="仿宋" w:eastAsia="仿宋" w:cs="仿宋"/>
                <w:b/>
                <w:sz w:val="28"/>
                <w:szCs w:val="28"/>
              </w:rPr>
            </w:pPr>
          </w:p>
        </w:tc>
        <w:tc>
          <w:tcPr>
            <w:tcW w:w="1468" w:type="dxa"/>
            <w:vAlign w:val="center"/>
          </w:tcPr>
          <w:p>
            <w:pPr>
              <w:widowControl/>
              <w:spacing w:line="360" w:lineRule="auto"/>
              <w:jc w:val="center"/>
              <w:textAlignment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运维服务能力</w:t>
            </w:r>
          </w:p>
        </w:tc>
        <w:tc>
          <w:tcPr>
            <w:tcW w:w="6166" w:type="dxa"/>
            <w:vAlign w:val="center"/>
          </w:tcPr>
          <w:p>
            <w:pPr>
              <w:keepNext w:val="0"/>
              <w:keepLines w:val="0"/>
              <w:pageBreakBefore w:val="0"/>
              <w:widowControl/>
              <w:kinsoku/>
              <w:wordWrap/>
              <w:overflowPunct/>
              <w:topLinePunct w:val="0"/>
              <w:autoSpaceDE/>
              <w:autoSpaceDN/>
              <w:bidi w:val="0"/>
              <w:snapToGrid/>
              <w:spacing w:line="600" w:lineRule="exact"/>
              <w:textAlignment w:val="center"/>
              <w:rPr>
                <w:rFonts w:ascii="仿宋" w:hAnsi="仿宋" w:eastAsia="仿宋"/>
                <w:bCs/>
                <w:sz w:val="28"/>
                <w:szCs w:val="28"/>
              </w:rPr>
            </w:pPr>
            <w:r>
              <w:rPr>
                <w:rFonts w:hint="eastAsia" w:ascii="仿宋" w:hAnsi="仿宋" w:eastAsia="仿宋"/>
                <w:bCs/>
                <w:sz w:val="28"/>
                <w:szCs w:val="28"/>
              </w:rPr>
              <w:t>根据投标人投标文件中提供的运维服务方案（至少包含运维服务流程、运维服务内容、 服务团队布局及人员、运维经验、响应时间、驻点场地、技术支持、7*24 小时热线服务等方面），由评委进行综合评审：</w:t>
            </w:r>
            <w:r>
              <w:rPr>
                <w:rFonts w:hint="eastAsia" w:ascii="仿宋" w:hAnsi="仿宋" w:eastAsia="仿宋"/>
                <w:b/>
                <w:sz w:val="28"/>
                <w:szCs w:val="28"/>
              </w:rPr>
              <w:t>（此项满分8分）</w:t>
            </w:r>
          </w:p>
          <w:p>
            <w:pPr>
              <w:keepNext w:val="0"/>
              <w:keepLines w:val="0"/>
              <w:pageBreakBefore w:val="0"/>
              <w:widowControl/>
              <w:kinsoku/>
              <w:wordWrap/>
              <w:overflowPunct/>
              <w:topLinePunct w:val="0"/>
              <w:autoSpaceDE/>
              <w:autoSpaceDN/>
              <w:bidi w:val="0"/>
              <w:snapToGrid/>
              <w:spacing w:line="600" w:lineRule="exact"/>
              <w:textAlignment w:val="center"/>
              <w:rPr>
                <w:rFonts w:ascii="仿宋" w:hAnsi="仿宋" w:eastAsia="仿宋"/>
                <w:bCs/>
                <w:sz w:val="28"/>
                <w:szCs w:val="28"/>
              </w:rPr>
            </w:pPr>
            <w:r>
              <w:rPr>
                <w:rFonts w:hint="eastAsia" w:ascii="仿宋" w:hAnsi="仿宋" w:eastAsia="仿宋"/>
                <w:bCs/>
                <w:sz w:val="28"/>
                <w:szCs w:val="28"/>
              </w:rPr>
              <w:t>（1）方案结构设计合理、内容全面完善、售后服务方案切实可行的，得6-8分；</w:t>
            </w:r>
          </w:p>
          <w:p>
            <w:pPr>
              <w:keepNext w:val="0"/>
              <w:keepLines w:val="0"/>
              <w:pageBreakBefore w:val="0"/>
              <w:widowControl/>
              <w:kinsoku/>
              <w:wordWrap/>
              <w:overflowPunct/>
              <w:topLinePunct w:val="0"/>
              <w:autoSpaceDE/>
              <w:autoSpaceDN/>
              <w:bidi w:val="0"/>
              <w:snapToGrid/>
              <w:spacing w:line="600" w:lineRule="exact"/>
              <w:textAlignment w:val="center"/>
              <w:rPr>
                <w:rFonts w:ascii="仿宋" w:hAnsi="仿宋" w:eastAsia="仿宋"/>
                <w:bCs/>
                <w:sz w:val="28"/>
                <w:szCs w:val="28"/>
              </w:rPr>
            </w:pPr>
            <w:r>
              <w:rPr>
                <w:rFonts w:hint="eastAsia" w:ascii="仿宋" w:hAnsi="仿宋" w:eastAsia="仿宋"/>
                <w:bCs/>
                <w:sz w:val="28"/>
                <w:szCs w:val="28"/>
              </w:rPr>
              <w:t>（2）方案结构设计较为合理、内容较为全面完善、售后服务方案可行性较强的，得3-5分；</w:t>
            </w:r>
          </w:p>
          <w:p>
            <w:pPr>
              <w:keepNext w:val="0"/>
              <w:keepLines w:val="0"/>
              <w:pageBreakBefore w:val="0"/>
              <w:widowControl/>
              <w:kinsoku/>
              <w:wordWrap/>
              <w:overflowPunct/>
              <w:topLinePunct w:val="0"/>
              <w:autoSpaceDE/>
              <w:autoSpaceDN/>
              <w:bidi w:val="0"/>
              <w:snapToGrid/>
              <w:spacing w:line="600" w:lineRule="exact"/>
              <w:textAlignment w:val="center"/>
              <w:rPr>
                <w:rFonts w:ascii="仿宋" w:hAnsi="仿宋" w:eastAsia="仿宋"/>
                <w:bCs/>
                <w:sz w:val="28"/>
                <w:szCs w:val="28"/>
              </w:rPr>
            </w:pPr>
            <w:r>
              <w:rPr>
                <w:rFonts w:hint="eastAsia" w:ascii="仿宋" w:hAnsi="仿宋" w:eastAsia="仿宋"/>
                <w:bCs/>
                <w:sz w:val="28"/>
                <w:szCs w:val="28"/>
              </w:rPr>
              <w:t>（3）未提供或方案不合理的，得0-2分。</w:t>
            </w:r>
          </w:p>
        </w:tc>
        <w:tc>
          <w:tcPr>
            <w:tcW w:w="902" w:type="dxa"/>
            <w:vAlign w:val="center"/>
          </w:tcPr>
          <w:p>
            <w:pPr>
              <w:widowControl/>
              <w:adjustRightInd w:val="0"/>
              <w:spacing w:line="400" w:lineRule="exact"/>
              <w:textAlignment w:val="baseline"/>
              <w:rPr>
                <w:rFonts w:ascii="仿宋" w:hAnsi="仿宋" w:eastAsia="仿宋" w:cs="仿宋"/>
                <w:b/>
                <w:bCs/>
                <w:kern w:val="0"/>
                <w:sz w:val="28"/>
                <w:szCs w:val="28"/>
              </w:rPr>
            </w:pPr>
            <w:r>
              <w:rPr>
                <w:rFonts w:hint="eastAsia" w:ascii="仿宋" w:hAnsi="仿宋" w:eastAsia="仿宋" w:cs="仿宋"/>
                <w:b/>
                <w:bCs/>
                <w:kern w:val="0"/>
                <w:sz w:val="28"/>
                <w:szCs w:val="28"/>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7" w:hRule="atLeast"/>
          <w:jc w:val="center"/>
        </w:trPr>
        <w:tc>
          <w:tcPr>
            <w:tcW w:w="696" w:type="dxa"/>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sz w:val="28"/>
                <w:szCs w:val="28"/>
              </w:rPr>
              <w:t>商务报价</w:t>
            </w:r>
          </w:p>
        </w:tc>
        <w:tc>
          <w:tcPr>
            <w:tcW w:w="1468" w:type="dxa"/>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投标报价</w:t>
            </w:r>
          </w:p>
        </w:tc>
        <w:tc>
          <w:tcPr>
            <w:tcW w:w="6166" w:type="dxa"/>
            <w:vAlign w:val="center"/>
          </w:tcPr>
          <w:p>
            <w:pPr>
              <w:keepNext w:val="0"/>
              <w:keepLines w:val="0"/>
              <w:pageBreakBefore w:val="0"/>
              <w:widowControl/>
              <w:kinsoku/>
              <w:wordWrap/>
              <w:overflowPunct/>
              <w:topLinePunct w:val="0"/>
              <w:autoSpaceDE/>
              <w:autoSpaceDN/>
              <w:bidi w:val="0"/>
              <w:adjustRightInd w:val="0"/>
              <w:snapToGrid/>
              <w:spacing w:line="600" w:lineRule="exact"/>
              <w:textAlignment w:val="baseline"/>
              <w:rPr>
                <w:rFonts w:hint="eastAsia" w:ascii="仿宋" w:hAnsi="仿宋" w:eastAsia="仿宋" w:cs="仿宋"/>
                <w:kern w:val="0"/>
                <w:sz w:val="28"/>
                <w:szCs w:val="28"/>
              </w:rPr>
            </w:pPr>
            <w:r>
              <w:rPr>
                <w:rFonts w:hint="eastAsia" w:ascii="仿宋" w:hAnsi="仿宋" w:eastAsia="仿宋" w:cs="仿宋"/>
                <w:kern w:val="0"/>
                <w:sz w:val="28"/>
                <w:szCs w:val="28"/>
              </w:rPr>
              <w:t>1.评标基准价：以磋商后的有效报价中最低价作为评标基准价。</w:t>
            </w:r>
          </w:p>
          <w:p>
            <w:pPr>
              <w:keepNext w:val="0"/>
              <w:keepLines w:val="0"/>
              <w:pageBreakBefore w:val="0"/>
              <w:widowControl/>
              <w:kinsoku/>
              <w:wordWrap/>
              <w:overflowPunct/>
              <w:topLinePunct w:val="0"/>
              <w:autoSpaceDE/>
              <w:autoSpaceDN/>
              <w:bidi w:val="0"/>
              <w:adjustRightInd w:val="0"/>
              <w:snapToGrid/>
              <w:spacing w:line="600" w:lineRule="exact"/>
              <w:textAlignment w:val="baseline"/>
              <w:rPr>
                <w:rFonts w:hint="eastAsia" w:ascii="仿宋" w:hAnsi="仿宋" w:eastAsia="仿宋" w:cs="仿宋"/>
                <w:kern w:val="0"/>
                <w:sz w:val="28"/>
                <w:szCs w:val="28"/>
              </w:rPr>
            </w:pPr>
            <w:r>
              <w:rPr>
                <w:rFonts w:hint="eastAsia" w:ascii="仿宋" w:hAnsi="仿宋" w:eastAsia="仿宋" w:cs="仿宋"/>
                <w:kern w:val="0"/>
                <w:sz w:val="28"/>
                <w:szCs w:val="28"/>
              </w:rPr>
              <w:t>供应商报价与评标基准价相比，相等的得满分30分，其他供应商得分按下面公式计算得分：</w:t>
            </w:r>
          </w:p>
          <w:p>
            <w:pPr>
              <w:keepNext w:val="0"/>
              <w:keepLines w:val="0"/>
              <w:pageBreakBefore w:val="0"/>
              <w:widowControl/>
              <w:kinsoku/>
              <w:wordWrap/>
              <w:overflowPunct/>
              <w:topLinePunct w:val="0"/>
              <w:autoSpaceDE/>
              <w:autoSpaceDN/>
              <w:bidi w:val="0"/>
              <w:adjustRightInd w:val="0"/>
              <w:snapToGrid/>
              <w:spacing w:line="600" w:lineRule="exact"/>
              <w:textAlignment w:val="baseline"/>
              <w:rPr>
                <w:rFonts w:hint="eastAsia" w:ascii="仿宋" w:hAnsi="仿宋" w:eastAsia="仿宋" w:cs="仿宋"/>
                <w:spacing w:val="11"/>
                <w:kern w:val="0"/>
                <w:sz w:val="28"/>
                <w:szCs w:val="28"/>
              </w:rPr>
            </w:pPr>
            <w:r>
              <w:rPr>
                <w:rFonts w:hint="eastAsia" w:ascii="仿宋" w:hAnsi="仿宋" w:eastAsia="仿宋" w:cs="仿宋"/>
                <w:spacing w:val="11"/>
                <w:kern w:val="0"/>
                <w:sz w:val="28"/>
                <w:szCs w:val="28"/>
              </w:rPr>
              <w:t>供应商报价得分=评标基准价/磋商后的投标报价*30</w:t>
            </w:r>
          </w:p>
          <w:p>
            <w:pPr>
              <w:keepNext w:val="0"/>
              <w:keepLines w:val="0"/>
              <w:pageBreakBefore w:val="0"/>
              <w:widowControl/>
              <w:kinsoku/>
              <w:wordWrap/>
              <w:overflowPunct/>
              <w:topLinePunct w:val="0"/>
              <w:autoSpaceDE/>
              <w:autoSpaceDN/>
              <w:bidi w:val="0"/>
              <w:adjustRightInd w:val="0"/>
              <w:snapToGrid/>
              <w:spacing w:line="600" w:lineRule="exact"/>
              <w:textAlignment w:val="baseline"/>
              <w:rPr>
                <w:rFonts w:hint="eastAsia" w:ascii="仿宋" w:hAnsi="仿宋" w:eastAsia="仿宋" w:cs="仿宋"/>
                <w:kern w:val="0"/>
                <w:sz w:val="28"/>
                <w:szCs w:val="28"/>
              </w:rPr>
            </w:pPr>
            <w:r>
              <w:rPr>
                <w:rFonts w:hint="eastAsia" w:ascii="仿宋" w:hAnsi="仿宋" w:eastAsia="仿宋" w:cs="仿宋"/>
                <w:kern w:val="0"/>
                <w:sz w:val="28"/>
                <w:szCs w:val="28"/>
              </w:rPr>
              <w:t>2.结果保留两位小数，第三位四舍五入。</w:t>
            </w:r>
          </w:p>
          <w:p>
            <w:pPr>
              <w:keepNext w:val="0"/>
              <w:keepLines w:val="0"/>
              <w:pageBreakBefore w:val="0"/>
              <w:widowControl/>
              <w:kinsoku/>
              <w:wordWrap/>
              <w:overflowPunct/>
              <w:topLinePunct w:val="0"/>
              <w:autoSpaceDE/>
              <w:autoSpaceDN/>
              <w:bidi w:val="0"/>
              <w:adjustRightInd w:val="0"/>
              <w:snapToGrid/>
              <w:spacing w:line="600" w:lineRule="exact"/>
              <w:textAlignment w:val="baseline"/>
              <w:rPr>
                <w:rFonts w:ascii="仿宋" w:hAnsi="仿宋" w:eastAsia="仿宋" w:cs="仿宋"/>
                <w:kern w:val="0"/>
                <w:sz w:val="28"/>
                <w:szCs w:val="28"/>
              </w:rPr>
            </w:pPr>
            <w:r>
              <w:rPr>
                <w:rFonts w:hint="eastAsia" w:ascii="仿宋" w:hAnsi="仿宋" w:eastAsia="仿宋" w:cs="仿宋"/>
                <w:kern w:val="0"/>
                <w:sz w:val="28"/>
                <w:szCs w:val="28"/>
              </w:rPr>
              <w:t>3.最低报价不作为中标的保证。评标委员会认为供应商的报价明显低于其他通过符合性审查供应商的报价，有可能影响产品质量或者不能诚信履约的，应当要求其在评标现场合理的时间内提供书面说明，必要时提交相关证明材料（根据投标时供应商提供的人、材、机的配置和市场价测算所需费用，或其他证明材料），承诺和投标保证不能作为证明材料；供应商不能证明其报价合理性的，评标委员会应当将其作为无效投标处理。</w:t>
            </w:r>
          </w:p>
        </w:tc>
        <w:tc>
          <w:tcPr>
            <w:tcW w:w="902" w:type="dxa"/>
            <w:vAlign w:val="center"/>
          </w:tcPr>
          <w:p>
            <w:pPr>
              <w:widowControl/>
              <w:adjustRightInd w:val="0"/>
              <w:spacing w:line="400" w:lineRule="exact"/>
              <w:textAlignment w:val="baseline"/>
              <w:rPr>
                <w:rFonts w:ascii="仿宋" w:hAnsi="仿宋" w:eastAsia="仿宋" w:cs="仿宋"/>
                <w:kern w:val="0"/>
                <w:sz w:val="28"/>
                <w:szCs w:val="28"/>
              </w:rPr>
            </w:pPr>
            <w:r>
              <w:rPr>
                <w:rFonts w:hint="eastAsia" w:ascii="仿宋" w:hAnsi="仿宋" w:eastAsia="仿宋" w:cs="仿宋"/>
                <w:kern w:val="0"/>
                <w:sz w:val="28"/>
                <w:szCs w:val="28"/>
              </w:rPr>
              <w:t>30分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83"/>
    <w:rsid w:val="00027C5B"/>
    <w:rsid w:val="003044EE"/>
    <w:rsid w:val="00AA272C"/>
    <w:rsid w:val="00C92BD8"/>
    <w:rsid w:val="00CB14C6"/>
    <w:rsid w:val="00FD5083"/>
    <w:rsid w:val="A6FEB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1629</Characters>
  <Lines>13</Lines>
  <Paragraphs>3</Paragraphs>
  <TotalTime>30</TotalTime>
  <ScaleCrop>false</ScaleCrop>
  <LinksUpToDate>false</LinksUpToDate>
  <CharactersWithSpaces>1911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2024-03-01T11:15:00Z</dcterms:created>
  <dc:creator>sys</dc:creator>
  <cp:lastModifiedBy>HNSW</cp:lastModifiedBy>
  <cp:lastPrinted>2024-03-05T16:00:28Z</cp:lastPrinted>
  <dcterms:modified xsi:type="dcterms:W3CDTF">2024-03-05T17:00:19Z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