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方正黑体_GBK" w:hAnsi="方正黑体_GBK" w:eastAsia="方正黑体_GBK" w:cs="方正黑体_GBK"/>
          <w:b w:val="0"/>
          <w:bCs w:val="0"/>
          <w:color w:val="auto"/>
          <w:sz w:val="32"/>
          <w:szCs w:val="32"/>
        </w:rPr>
      </w:pPr>
      <w:r>
        <w:rPr>
          <w:rFonts w:hint="eastAsia" w:ascii="方正黑体_GBK" w:hAnsi="方正黑体_GBK" w:eastAsia="方正黑体_GBK" w:cs="方正黑体_GBK"/>
          <w:b w:val="0"/>
          <w:bCs w:val="0"/>
          <w:color w:val="auto"/>
          <w:sz w:val="32"/>
          <w:szCs w:val="32"/>
        </w:rPr>
        <w:t>附件1</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_GBK" w:eastAsia="方正小标宋简体" w:cs="方正小标宋_GBK"/>
          <w:b w:val="0"/>
          <w:bCs w:val="0"/>
          <w:color w:val="auto"/>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_GBK" w:eastAsia="方正小标宋简体" w:cs="方正小标宋_GBK"/>
          <w:b w:val="0"/>
          <w:bCs w:val="0"/>
          <w:color w:val="auto"/>
          <w:kern w:val="21"/>
          <w:sz w:val="44"/>
          <w:szCs w:val="44"/>
        </w:rPr>
      </w:pPr>
      <w:r>
        <w:rPr>
          <w:rFonts w:hint="eastAsia" w:ascii="方正小标宋简体" w:hAnsi="方正小标宋_GBK" w:eastAsia="方正小标宋简体" w:cs="方正小标宋_GBK"/>
          <w:b w:val="0"/>
          <w:bCs w:val="0"/>
          <w:color w:val="auto"/>
          <w:kern w:val="21"/>
          <w:sz w:val="44"/>
          <w:szCs w:val="44"/>
        </w:rPr>
        <w:t>淮南市高等学校在校大学生参加城乡居民</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黑体" w:hAnsi="黑体" w:eastAsia="黑体" w:cs="CESI仿宋-GB13000"/>
          <w:b w:val="0"/>
          <w:bCs w:val="0"/>
          <w:color w:val="auto"/>
          <w:kern w:val="21"/>
          <w:sz w:val="44"/>
          <w:szCs w:val="44"/>
        </w:rPr>
      </w:pPr>
      <w:r>
        <w:rPr>
          <w:rFonts w:hint="eastAsia" w:ascii="方正小标宋简体" w:hAnsi="方正小标宋_GBK" w:eastAsia="方正小标宋简体" w:cs="方正小标宋_GBK"/>
          <w:b w:val="0"/>
          <w:bCs w:val="0"/>
          <w:color w:val="auto"/>
          <w:kern w:val="21"/>
          <w:sz w:val="44"/>
          <w:szCs w:val="44"/>
        </w:rPr>
        <w:t>基本医疗保险暂行办法</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黑体" w:hAnsi="黑体" w:eastAsia="黑体" w:cs="方正黑体_GBK"/>
          <w:b w:val="0"/>
          <w:bCs w:val="0"/>
          <w:color w:val="auto"/>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jc w:val="center"/>
        <w:textAlignment w:val="auto"/>
        <w:rPr>
          <w:rFonts w:hint="eastAsia" w:ascii="黑体" w:hAnsi="黑体" w:eastAsia="黑体" w:cs="方正黑体_GBK"/>
          <w:b w:val="0"/>
          <w:bCs w:val="0"/>
          <w:color w:val="auto"/>
          <w:sz w:val="32"/>
          <w:szCs w:val="32"/>
        </w:rPr>
      </w:pPr>
      <w:r>
        <w:rPr>
          <w:rFonts w:hint="eastAsia" w:ascii="黑体" w:hAnsi="黑体" w:eastAsia="黑体" w:cs="方正黑体_GBK"/>
          <w:b w:val="0"/>
          <w:bCs w:val="0"/>
          <w:color w:val="auto"/>
          <w:sz w:val="32"/>
          <w:szCs w:val="32"/>
          <w:lang w:val="en-US" w:eastAsia="zh-CN" w:bidi="ar-SA"/>
        </w:rPr>
        <w:t>第一章</w:t>
      </w:r>
      <w:r>
        <w:rPr>
          <w:rFonts w:hint="eastAsia" w:ascii="仿宋_GB2312" w:hAnsi="仿宋_GB2312" w:eastAsia="仿宋_GB2312" w:cs="仿宋_GB2312"/>
          <w:b w:val="0"/>
          <w:bCs w:val="0"/>
          <w:color w:val="auto"/>
          <w:sz w:val="32"/>
          <w:szCs w:val="32"/>
          <w:lang w:val="en-US" w:eastAsia="zh-CN" w:bidi="ar-SA"/>
        </w:rPr>
        <w:t xml:space="preserve">  </w:t>
      </w:r>
      <w:r>
        <w:rPr>
          <w:rFonts w:hint="eastAsia" w:ascii="黑体" w:hAnsi="黑体" w:eastAsia="黑体" w:cs="方正黑体_GBK"/>
          <w:b w:val="0"/>
          <w:bCs w:val="0"/>
          <w:color w:val="auto"/>
          <w:sz w:val="32"/>
          <w:szCs w:val="32"/>
        </w:rPr>
        <w:t>总</w:t>
      </w:r>
      <w:r>
        <w:rPr>
          <w:rFonts w:hint="eastAsia" w:ascii="仿宋_GB2312" w:hAnsi="仿宋_GB2312" w:eastAsia="仿宋_GB2312" w:cs="仿宋_GB2312"/>
          <w:b w:val="0"/>
          <w:bCs w:val="0"/>
          <w:color w:val="auto"/>
          <w:sz w:val="32"/>
          <w:szCs w:val="32"/>
          <w:lang w:val="en-US" w:eastAsia="zh-CN"/>
        </w:rPr>
        <w:t xml:space="preserve">    </w:t>
      </w:r>
      <w:r>
        <w:rPr>
          <w:rFonts w:hint="eastAsia" w:ascii="黑体" w:hAnsi="黑体" w:eastAsia="黑体" w:cs="方正黑体_GBK"/>
          <w:b w:val="0"/>
          <w:bCs w:val="0"/>
          <w:color w:val="auto"/>
          <w:sz w:val="32"/>
          <w:szCs w:val="32"/>
        </w:rPr>
        <w:t>则</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textAlignment w:val="auto"/>
        <w:rPr>
          <w:rFonts w:hint="eastAsia"/>
          <w:b w:val="0"/>
          <w:bCs w:val="0"/>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第一条</w:t>
      </w: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为保障高等学校在校大学生基本医疗保障需求，完善城乡居民基本医疗保障体系，落实应保尽保工作目标，根据国家、省关于大学生参加城乡居民基本医疗保险相关政策，结合本市实际，制定本办法。</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第二条</w:t>
      </w: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本办法适用于本市行政区域范围内高等学校招收的全日制普通本（专）科生、非在职研究生（以下统称“大学</w:t>
      </w:r>
      <w:bookmarkStart w:id="0" w:name="_GoBack"/>
      <w:bookmarkEnd w:id="0"/>
      <w:r>
        <w:rPr>
          <w:rFonts w:hint="eastAsia" w:ascii="仿宋_GB2312" w:hAnsi="仿宋_GB2312" w:eastAsia="仿宋_GB2312" w:cs="仿宋_GB2312"/>
          <w:b w:val="0"/>
          <w:bCs w:val="0"/>
          <w:color w:val="auto"/>
          <w:sz w:val="32"/>
          <w:szCs w:val="32"/>
        </w:rPr>
        <w:t>生”），以学籍地参保为原则，大学生统一纳入本市城乡居民基本医疗保险（以下简称“居民医保”）制度体系。</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第三条</w:t>
      </w: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大学生参加城乡居民基本医保，坚持保障基本、多方筹资、权责清晰、持续运行的原则，医保经办机构负责辖区内参保大学生住院及门诊慢特病医疗保障的就医管理及医疗费用审核结算等业务经办；各高校负责本校大学生普通门诊的就医管理及医疗费用报销等业务，并协助做好本校大学生住院及门诊慢特病就医管理的相关工作。</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方正黑体_GBK" w:eastAsia="仿宋_GB2312" w:cs="方正黑体_GBK"/>
          <w:b w:val="0"/>
          <w:bCs w:val="0"/>
          <w:color w:val="auto"/>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方正黑体_GBK"/>
          <w:b w:val="0"/>
          <w:bCs w:val="0"/>
          <w:color w:val="auto"/>
          <w:sz w:val="32"/>
          <w:szCs w:val="32"/>
        </w:rPr>
      </w:pPr>
      <w:r>
        <w:rPr>
          <w:rFonts w:hint="eastAsia" w:ascii="黑体" w:hAnsi="黑体" w:eastAsia="黑体" w:cs="方正黑体_GBK"/>
          <w:b w:val="0"/>
          <w:bCs w:val="0"/>
          <w:color w:val="auto"/>
          <w:sz w:val="32"/>
          <w:szCs w:val="32"/>
          <w:lang w:val="en-US" w:eastAsia="zh-CN" w:bidi="ar-SA"/>
        </w:rPr>
        <w:t>第二章</w:t>
      </w:r>
      <w:r>
        <w:rPr>
          <w:rFonts w:hint="eastAsia" w:ascii="仿宋_GB2312" w:hAnsi="仿宋_GB2312" w:eastAsia="仿宋_GB2312" w:cs="仿宋_GB2312"/>
          <w:b w:val="0"/>
          <w:bCs w:val="0"/>
          <w:color w:val="auto"/>
          <w:sz w:val="32"/>
          <w:szCs w:val="32"/>
          <w:lang w:val="en-US" w:eastAsia="zh-CN"/>
        </w:rPr>
        <w:t xml:space="preserve">  </w:t>
      </w:r>
      <w:r>
        <w:rPr>
          <w:rFonts w:hint="eastAsia" w:ascii="黑体" w:hAnsi="黑体" w:eastAsia="黑体" w:cs="方正黑体_GBK"/>
          <w:b w:val="0"/>
          <w:bCs w:val="0"/>
          <w:color w:val="auto"/>
          <w:sz w:val="32"/>
          <w:szCs w:val="32"/>
        </w:rPr>
        <w:t>参保缴费</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textAlignment w:val="auto"/>
        <w:rPr>
          <w:rFonts w:hint="eastAsia"/>
          <w:b w:val="0"/>
          <w:bCs w:val="0"/>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第四条</w:t>
      </w: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大学生参加城乡居民基本医疗保险实行按学年参保缴费，每年集中征缴期起始时间为新生入校时间，截止时间与本市城乡居民基本医保集中征缴期一致。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第五条</w:t>
      </w: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大学生参加城乡居民基本医疗保险筹资由个人缴费和财政补助共同构成，财政补助标准按照国家、省、市相关规定执行，补助资金按规定纳入财政预算。</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第六条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 xml:space="preserve"> 对在我市正常参保缴费的大学生个人缴费部分实施政府定额资助政策。大学生参加城乡居民基本医保个人缴费在国家规定的当年度最低筹资标准上实施，每人每年享受政府资</w:t>
      </w:r>
      <w:r>
        <w:rPr>
          <w:rFonts w:hint="default" w:ascii="Times New Roman" w:hAnsi="Times New Roman" w:eastAsia="仿宋_GB2312" w:cs="Times New Roman"/>
          <w:b w:val="0"/>
          <w:bCs w:val="0"/>
          <w:color w:val="auto"/>
          <w:sz w:val="32"/>
          <w:szCs w:val="32"/>
        </w:rPr>
        <w:t>助50</w:t>
      </w:r>
      <w:r>
        <w:rPr>
          <w:rFonts w:hint="eastAsia" w:ascii="仿宋_GB2312" w:hAnsi="仿宋_GB2312" w:eastAsia="仿宋_GB2312" w:cs="仿宋_GB2312"/>
          <w:b w:val="0"/>
          <w:bCs w:val="0"/>
          <w:color w:val="auto"/>
          <w:sz w:val="32"/>
          <w:szCs w:val="32"/>
        </w:rPr>
        <w:t>元，资助标准将根据我市经济社会发展水平实行动态调整。已享受困难群众资助参保政策或我市其他资助参保政策的大学生不重复享受资助。</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 xml:space="preserve">第七条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实行县域医共体城乡居民基本医疗保险打包付费的县区，辖区内高校大学生参加城乡居民基本医疗保险个人缴费的政府资助资金由县区财政承担；驻地在其他县区的高校，大学生参加城乡居民基本医疗保险个人缴费的政府资助资金由市财政承担。</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第八条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 xml:space="preserve"> 大学生在校期间应当连续参保缴费，未在集中征缴期内及时参保的，将设置一定时间的待遇等待期，具体实施标准按照《关于健全基本医疗保险参保长效机制的实施意见》（皖医保发〔</w:t>
      </w:r>
      <w:r>
        <w:rPr>
          <w:rFonts w:hint="default" w:ascii="Times New Roman" w:hAnsi="Times New Roman" w:eastAsia="仿宋_GB2312" w:cs="Times New Roman"/>
          <w:b w:val="0"/>
          <w:bCs w:val="0"/>
          <w:color w:val="auto"/>
          <w:sz w:val="32"/>
          <w:szCs w:val="32"/>
        </w:rPr>
        <w:t>2024</w:t>
      </w:r>
      <w:r>
        <w:rPr>
          <w:rFonts w:hint="eastAsia" w:ascii="仿宋_GB2312" w:hAnsi="仿宋_GB2312" w:eastAsia="仿宋_GB2312" w:cs="仿宋_GB2312"/>
          <w:b w:val="0"/>
          <w:bCs w:val="0"/>
          <w:color w:val="auto"/>
          <w:sz w:val="32"/>
          <w:szCs w:val="32"/>
        </w:rPr>
        <w:t>〕</w:t>
      </w:r>
      <w:r>
        <w:rPr>
          <w:rFonts w:hint="default" w:ascii="Times New Roman" w:hAnsi="Times New Roman" w:eastAsia="仿宋_GB2312" w:cs="Times New Roman"/>
          <w:b w:val="0"/>
          <w:bCs w:val="0"/>
          <w:color w:val="auto"/>
          <w:sz w:val="32"/>
          <w:szCs w:val="32"/>
        </w:rPr>
        <w:t>6</w:t>
      </w:r>
      <w:r>
        <w:rPr>
          <w:rFonts w:hint="eastAsia" w:ascii="仿宋_GB2312" w:hAnsi="仿宋_GB2312" w:eastAsia="仿宋_GB2312" w:cs="仿宋_GB2312"/>
          <w:b w:val="0"/>
          <w:bCs w:val="0"/>
          <w:color w:val="auto"/>
          <w:sz w:val="32"/>
          <w:szCs w:val="32"/>
        </w:rPr>
        <w:t>号）执行。</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方正黑体_GBK" w:eastAsia="仿宋_GB2312" w:cs="方正黑体_GBK"/>
          <w:b w:val="0"/>
          <w:bCs w:val="0"/>
          <w:color w:val="auto"/>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方正黑体_GBK"/>
          <w:b w:val="0"/>
          <w:bCs w:val="0"/>
          <w:color w:val="auto"/>
          <w:sz w:val="32"/>
          <w:szCs w:val="32"/>
        </w:rPr>
      </w:pPr>
      <w:r>
        <w:rPr>
          <w:rFonts w:hint="eastAsia" w:ascii="黑体" w:hAnsi="黑体" w:eastAsia="黑体" w:cs="方正黑体_GBK"/>
          <w:b w:val="0"/>
          <w:bCs w:val="0"/>
          <w:color w:val="auto"/>
          <w:sz w:val="32"/>
          <w:szCs w:val="32"/>
          <w:lang w:val="en-US" w:eastAsia="zh-CN" w:bidi="ar-SA"/>
        </w:rPr>
        <w:t>第三章</w:t>
      </w:r>
      <w:r>
        <w:rPr>
          <w:rFonts w:hint="eastAsia" w:ascii="仿宋_GB2312" w:hAnsi="仿宋_GB2312" w:eastAsia="仿宋_GB2312" w:cs="仿宋_GB2312"/>
          <w:b w:val="0"/>
          <w:bCs w:val="0"/>
          <w:color w:val="auto"/>
          <w:sz w:val="32"/>
          <w:szCs w:val="32"/>
          <w:lang w:val="en-US" w:eastAsia="zh-CN"/>
        </w:rPr>
        <w:t xml:space="preserve">  </w:t>
      </w:r>
      <w:r>
        <w:rPr>
          <w:rFonts w:hint="eastAsia" w:ascii="黑体" w:hAnsi="黑体" w:eastAsia="黑体" w:cs="方正黑体_GBK"/>
          <w:b w:val="0"/>
          <w:bCs w:val="0"/>
          <w:color w:val="auto"/>
          <w:sz w:val="32"/>
          <w:szCs w:val="32"/>
        </w:rPr>
        <w:t>待遇保障</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textAlignment w:val="auto"/>
        <w:rPr>
          <w:rFonts w:hint="eastAsia"/>
          <w:b w:val="0"/>
          <w:bCs w:val="0"/>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第九条</w:t>
      </w: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大学生自办理入学手续、并缴纳参保费用之日起享受基本医疗保险待遇；因病休学并连续参保缴费的，休学期间可继续享受待遇。</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eastAsia" w:ascii="仿宋_GB2312" w:hAnsi="仿宋_GB2312" w:eastAsia="仿宋_GB2312" w:cs="仿宋_GB2312"/>
          <w:b w:val="0"/>
          <w:bCs w:val="0"/>
          <w:color w:val="auto"/>
          <w:sz w:val="32"/>
          <w:szCs w:val="32"/>
        </w:rPr>
        <w:t>（一）普通门诊结算时限‌：大学生基本医疗保险的结算年度为当年</w:t>
      </w:r>
      <w:r>
        <w:rPr>
          <w:rFonts w:hint="default" w:ascii="Times New Roman" w:hAnsi="Times New Roman" w:eastAsia="仿宋_GB2312" w:cs="Times New Roman"/>
          <w:b w:val="0"/>
          <w:bCs w:val="0"/>
          <w:color w:val="auto"/>
          <w:sz w:val="32"/>
          <w:szCs w:val="32"/>
        </w:rPr>
        <w:t>9月1日至次年8月31日</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其中应届毕业生的普通门诊医保结算可延续至当年12月31日，确保保障不断档；</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（二）住院及门诊慢特病结算时限‌：次年1月1日至12月31日。</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第十条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 xml:space="preserve"> 大学生参加城乡居民基本医保不建立个人账户，保障范围按照我市城乡居民基本医保待遇规定执行。</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第十一条</w:t>
      </w:r>
      <w:r>
        <w:rPr>
          <w:rFonts w:hint="eastAsia" w:ascii="楷体_GB2312" w:hAnsi="楷体_GB2312" w:eastAsia="楷体_GB2312" w:cs="楷体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 xml:space="preserve"> 普通门诊</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大学生普通门诊实行按高校参保率差异化包干制度，资金由市医保经办机构按标准拨付高校包干使用，从医保基金中列支。大学生普通门诊就医管理和医疗费用使用的具体办法，由各高校自行制定，待遇标准不得低于我市城乡居民普通门诊待遇。</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（一）在校参保率80%及以上（资助参保对象除外），包干标准90元</w:t>
      </w:r>
      <w:r>
        <w:rPr>
          <w:rFonts w:hint="eastAsia" w:ascii="仿宋_GB2312" w:hAnsi="仿宋_GB2312" w:eastAsia="仿宋_GB2312" w:cs="仿宋_GB2312"/>
          <w:b w:val="0"/>
          <w:bCs w:val="0"/>
          <w:color w:val="auto"/>
          <w:sz w:val="32"/>
          <w:szCs w:val="32"/>
        </w:rPr>
        <w:t>/</w:t>
      </w:r>
      <w:r>
        <w:rPr>
          <w:rFonts w:hint="default" w:ascii="Times New Roman" w:hAnsi="Times New Roman" w:eastAsia="仿宋_GB2312" w:cs="Times New Roman"/>
          <w:b w:val="0"/>
          <w:bCs w:val="0"/>
          <w:color w:val="auto"/>
          <w:sz w:val="32"/>
          <w:szCs w:val="32"/>
        </w:rPr>
        <w:t>人</w:t>
      </w:r>
      <w:r>
        <w:rPr>
          <w:rFonts w:hint="eastAsia" w:ascii="仿宋_GB2312" w:hAnsi="仿宋_GB2312" w:eastAsia="仿宋_GB2312" w:cs="仿宋_GB2312"/>
          <w:b w:val="0"/>
          <w:bCs w:val="0"/>
          <w:color w:val="auto"/>
          <w:sz w:val="32"/>
          <w:szCs w:val="32"/>
        </w:rPr>
        <w:t>/</w:t>
      </w:r>
      <w:r>
        <w:rPr>
          <w:rFonts w:hint="default" w:ascii="Times New Roman" w:hAnsi="Times New Roman" w:eastAsia="仿宋_GB2312" w:cs="Times New Roman"/>
          <w:b w:val="0"/>
          <w:bCs w:val="0"/>
          <w:color w:val="auto"/>
          <w:sz w:val="32"/>
          <w:szCs w:val="32"/>
        </w:rPr>
        <w:t>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（二）在校参保率60%</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80%（资助参保对象除外），包干标准70元</w:t>
      </w:r>
      <w:r>
        <w:rPr>
          <w:rFonts w:hint="eastAsia" w:ascii="仿宋_GB2312" w:hAnsi="仿宋_GB2312" w:eastAsia="仿宋_GB2312" w:cs="仿宋_GB2312"/>
          <w:b w:val="0"/>
          <w:bCs w:val="0"/>
          <w:color w:val="auto"/>
          <w:sz w:val="32"/>
          <w:szCs w:val="32"/>
        </w:rPr>
        <w:t>/</w:t>
      </w:r>
      <w:r>
        <w:rPr>
          <w:rFonts w:hint="default" w:ascii="Times New Roman" w:hAnsi="Times New Roman" w:eastAsia="仿宋_GB2312" w:cs="Times New Roman"/>
          <w:b w:val="0"/>
          <w:bCs w:val="0"/>
          <w:color w:val="auto"/>
          <w:sz w:val="32"/>
          <w:szCs w:val="32"/>
        </w:rPr>
        <w:t>人</w:t>
      </w:r>
      <w:r>
        <w:rPr>
          <w:rFonts w:hint="eastAsia" w:ascii="仿宋_GB2312" w:hAnsi="仿宋_GB2312" w:eastAsia="仿宋_GB2312" w:cs="仿宋_GB2312"/>
          <w:b w:val="0"/>
          <w:bCs w:val="0"/>
          <w:color w:val="auto"/>
          <w:sz w:val="32"/>
          <w:szCs w:val="32"/>
        </w:rPr>
        <w:t>/</w:t>
      </w:r>
      <w:r>
        <w:rPr>
          <w:rFonts w:hint="default" w:ascii="Times New Roman" w:hAnsi="Times New Roman" w:eastAsia="仿宋_GB2312" w:cs="Times New Roman"/>
          <w:b w:val="0"/>
          <w:bCs w:val="0"/>
          <w:color w:val="auto"/>
          <w:sz w:val="32"/>
          <w:szCs w:val="32"/>
        </w:rPr>
        <w:t>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（三）在校参保率30%</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60%（资助参保对象除外），包干标准50元</w:t>
      </w:r>
      <w:r>
        <w:rPr>
          <w:rFonts w:hint="eastAsia" w:ascii="仿宋_GB2312" w:hAnsi="仿宋_GB2312" w:eastAsia="仿宋_GB2312" w:cs="仿宋_GB2312"/>
          <w:b w:val="0"/>
          <w:bCs w:val="0"/>
          <w:color w:val="auto"/>
          <w:sz w:val="32"/>
          <w:szCs w:val="32"/>
        </w:rPr>
        <w:t>/</w:t>
      </w:r>
      <w:r>
        <w:rPr>
          <w:rFonts w:hint="default" w:ascii="Times New Roman" w:hAnsi="Times New Roman" w:eastAsia="仿宋_GB2312" w:cs="Times New Roman"/>
          <w:b w:val="0"/>
          <w:bCs w:val="0"/>
          <w:color w:val="auto"/>
          <w:sz w:val="32"/>
          <w:szCs w:val="32"/>
        </w:rPr>
        <w:t>人</w:t>
      </w:r>
      <w:r>
        <w:rPr>
          <w:rFonts w:hint="eastAsia" w:ascii="仿宋_GB2312" w:hAnsi="仿宋_GB2312" w:eastAsia="仿宋_GB2312" w:cs="仿宋_GB2312"/>
          <w:b w:val="0"/>
          <w:bCs w:val="0"/>
          <w:color w:val="auto"/>
          <w:sz w:val="32"/>
          <w:szCs w:val="32"/>
        </w:rPr>
        <w:t>/</w:t>
      </w:r>
      <w:r>
        <w:rPr>
          <w:rFonts w:hint="default" w:ascii="Times New Roman" w:hAnsi="Times New Roman" w:eastAsia="仿宋_GB2312" w:cs="Times New Roman"/>
          <w:b w:val="0"/>
          <w:bCs w:val="0"/>
          <w:color w:val="auto"/>
          <w:sz w:val="32"/>
          <w:szCs w:val="32"/>
        </w:rPr>
        <w:t>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（四）在校参保率低于30%（资助参保对象除外），包干标准20元</w:t>
      </w:r>
      <w:r>
        <w:rPr>
          <w:rFonts w:hint="eastAsia" w:ascii="仿宋_GB2312" w:hAnsi="仿宋_GB2312" w:eastAsia="仿宋_GB2312" w:cs="仿宋_GB2312"/>
          <w:b w:val="0"/>
          <w:bCs w:val="0"/>
          <w:color w:val="auto"/>
          <w:sz w:val="32"/>
          <w:szCs w:val="32"/>
        </w:rPr>
        <w:t>/</w:t>
      </w:r>
      <w:r>
        <w:rPr>
          <w:rFonts w:hint="default" w:ascii="Times New Roman" w:hAnsi="Times New Roman" w:eastAsia="仿宋_GB2312" w:cs="Times New Roman"/>
          <w:b w:val="0"/>
          <w:bCs w:val="0"/>
          <w:color w:val="auto"/>
          <w:sz w:val="32"/>
          <w:szCs w:val="32"/>
        </w:rPr>
        <w:t>人</w:t>
      </w:r>
      <w:r>
        <w:rPr>
          <w:rFonts w:hint="eastAsia" w:ascii="仿宋_GB2312" w:hAnsi="仿宋_GB2312" w:eastAsia="仿宋_GB2312" w:cs="仿宋_GB2312"/>
          <w:b w:val="0"/>
          <w:bCs w:val="0"/>
          <w:color w:val="auto"/>
          <w:sz w:val="32"/>
          <w:szCs w:val="32"/>
        </w:rPr>
        <w:t>/</w:t>
      </w:r>
      <w:r>
        <w:rPr>
          <w:rFonts w:hint="default" w:ascii="Times New Roman" w:hAnsi="Times New Roman" w:eastAsia="仿宋_GB2312" w:cs="Times New Roman"/>
          <w:b w:val="0"/>
          <w:bCs w:val="0"/>
          <w:color w:val="auto"/>
          <w:sz w:val="32"/>
          <w:szCs w:val="32"/>
        </w:rPr>
        <w:t>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大学生在校参保后按规定享受高校普通门诊保障待遇的，待遇享受期内不得重复享受本市城乡居民普通门诊统筹报销待遇。</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楷体_GB2312" w:hAnsi="楷体_GB2312" w:eastAsia="楷体_GB2312" w:cs="楷体_GB2312"/>
          <w:b w:val="0"/>
          <w:bCs w:val="0"/>
          <w:color w:val="auto"/>
          <w:sz w:val="32"/>
          <w:szCs w:val="32"/>
        </w:rPr>
        <w:t>第十二条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 xml:space="preserve"> </w:t>
      </w:r>
      <w:r>
        <w:rPr>
          <w:rFonts w:hint="default" w:ascii="Times New Roman" w:hAnsi="Times New Roman" w:eastAsia="仿宋_GB2312" w:cs="Times New Roman"/>
          <w:b w:val="0"/>
          <w:bCs w:val="0"/>
          <w:color w:val="auto"/>
          <w:sz w:val="32"/>
          <w:szCs w:val="32"/>
        </w:rPr>
        <w:t>门诊慢特病</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门诊慢特病范围按省医疗保障局统一病种执行，起付线标准及报销比例按照我市城乡居民医保相关待遇规定执行。</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楷体_GB2312" w:hAnsi="楷体_GB2312" w:eastAsia="楷体_GB2312" w:cs="楷体_GB2312"/>
          <w:b w:val="0"/>
          <w:bCs w:val="0"/>
          <w:color w:val="auto"/>
          <w:sz w:val="32"/>
          <w:szCs w:val="32"/>
        </w:rPr>
        <w:t>第十三条</w:t>
      </w:r>
      <w:r>
        <w:rPr>
          <w:rFonts w:hint="eastAsia" w:ascii="楷体_GB2312" w:hAnsi="楷体_GB2312" w:eastAsia="楷体_GB2312" w:cs="楷体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住院</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（一）大学生市域内住院医保起付线按本市城乡居民医保标准减半执行，报销比例按照我市城乡居民基本医保政策规定执行。</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二）大学生按规定临时外出就医备案后，在户籍地、学籍地或就业见习、实习地发生的符合规定的医疗费用，通过异地就医直接结算报销的，享受市域内同等报销待遇，报销比例不受转外就医调减比例规定限制。转诊治疗，按照本市城乡居民基本医疗保险的有关规定执行。</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黑体" w:hAnsi="黑体" w:eastAsia="黑体" w:cs="方正黑体_GBK"/>
          <w:b w:val="0"/>
          <w:bCs w:val="0"/>
          <w:color w:val="auto"/>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jc w:val="center"/>
        <w:textAlignment w:val="auto"/>
        <w:rPr>
          <w:rFonts w:hint="eastAsia" w:ascii="黑体" w:hAnsi="黑体" w:eastAsia="黑体" w:cs="方正黑体_GBK"/>
          <w:b w:val="0"/>
          <w:bCs w:val="0"/>
          <w:color w:val="auto"/>
          <w:sz w:val="32"/>
          <w:szCs w:val="32"/>
        </w:rPr>
      </w:pPr>
      <w:r>
        <w:rPr>
          <w:rFonts w:hint="eastAsia" w:ascii="黑体" w:hAnsi="黑体" w:eastAsia="黑体" w:cs="方正黑体_GBK"/>
          <w:b w:val="0"/>
          <w:bCs w:val="0"/>
          <w:color w:val="auto"/>
          <w:sz w:val="32"/>
          <w:szCs w:val="32"/>
          <w:lang w:val="en-US" w:eastAsia="zh-CN" w:bidi="ar-SA"/>
        </w:rPr>
        <w:t>第四章</w:t>
      </w:r>
      <w:r>
        <w:rPr>
          <w:rFonts w:hint="eastAsia" w:ascii="仿宋_GB2312" w:hAnsi="仿宋_GB2312" w:eastAsia="仿宋_GB2312" w:cs="仿宋_GB2312"/>
          <w:b w:val="0"/>
          <w:bCs w:val="0"/>
          <w:color w:val="auto"/>
          <w:sz w:val="32"/>
          <w:szCs w:val="32"/>
          <w:lang w:val="en-US" w:eastAsia="zh-CN" w:bidi="ar-SA"/>
        </w:rPr>
        <w:t xml:space="preserve">  </w:t>
      </w:r>
      <w:r>
        <w:rPr>
          <w:rFonts w:hint="eastAsia" w:ascii="黑体" w:hAnsi="黑体" w:eastAsia="黑体" w:cs="方正黑体_GBK"/>
          <w:b w:val="0"/>
          <w:bCs w:val="0"/>
          <w:color w:val="auto"/>
          <w:sz w:val="32"/>
          <w:szCs w:val="32"/>
        </w:rPr>
        <w:t>就医管理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textAlignment w:val="auto"/>
        <w:rPr>
          <w:rFonts w:hint="eastAsia"/>
          <w:b w:val="0"/>
          <w:bCs w:val="0"/>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CESI仿宋-GB13000" w:eastAsia="仿宋_GB2312" w:cs="CESI仿宋-GB13000"/>
          <w:b w:val="0"/>
          <w:bCs w:val="0"/>
          <w:color w:val="auto"/>
          <w:sz w:val="32"/>
          <w:szCs w:val="32"/>
        </w:rPr>
      </w:pPr>
      <w:r>
        <w:rPr>
          <w:rFonts w:hint="eastAsia" w:ascii="楷体_GB2312" w:hAnsi="楷体_GB2312" w:eastAsia="楷体_GB2312" w:cs="楷体_GB2312"/>
          <w:b w:val="0"/>
          <w:bCs w:val="0"/>
          <w:color w:val="auto"/>
          <w:sz w:val="32"/>
          <w:szCs w:val="32"/>
        </w:rPr>
        <w:t>第十四条</w:t>
      </w:r>
      <w:r>
        <w:rPr>
          <w:rFonts w:hint="eastAsia" w:ascii="仿宋_GB2312" w:hAnsi="CESI仿宋-GB13000" w:eastAsia="仿宋_GB2312" w:cs="CESI仿宋-GB13000"/>
          <w:b w:val="0"/>
          <w:bCs w:val="0"/>
          <w:color w:val="auto"/>
          <w:sz w:val="32"/>
          <w:szCs w:val="32"/>
          <w:lang w:val="en-US" w:eastAsia="zh-CN"/>
        </w:rPr>
        <w:t xml:space="preserve"> </w:t>
      </w:r>
      <w:r>
        <w:rPr>
          <w:rFonts w:hint="eastAsia" w:ascii="仿宋_GB2312" w:hAnsi="CESI仿宋-GB13000" w:eastAsia="仿宋_GB2312" w:cs="CESI仿宋-GB13000"/>
          <w:b w:val="0"/>
          <w:bCs w:val="0"/>
          <w:color w:val="auto"/>
          <w:sz w:val="32"/>
          <w:szCs w:val="32"/>
        </w:rPr>
        <w:t xml:space="preserve"> 参保大学生就医实行定点管理，高校所属医疗机构优先纳入医保定点范围；无内设医疗机构的高校，可委托就近定点医疗机构或社区卫生服务机构等方式保障在校大学生就医需求。</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CESI仿宋-GB13000" w:eastAsia="仿宋_GB2312" w:cs="CESI仿宋-GB13000"/>
          <w:b w:val="0"/>
          <w:bCs w:val="0"/>
          <w:color w:val="auto"/>
          <w:sz w:val="32"/>
          <w:szCs w:val="32"/>
        </w:rPr>
      </w:pPr>
      <w:r>
        <w:rPr>
          <w:rFonts w:hint="eastAsia" w:ascii="楷体_GB2312" w:hAnsi="楷体_GB2312" w:eastAsia="楷体_GB2312" w:cs="楷体_GB2312"/>
          <w:b w:val="0"/>
          <w:bCs w:val="0"/>
          <w:color w:val="auto"/>
          <w:sz w:val="32"/>
          <w:szCs w:val="32"/>
        </w:rPr>
        <w:t>第十五条</w:t>
      </w:r>
      <w:r>
        <w:rPr>
          <w:rFonts w:hint="eastAsia" w:ascii="仿宋_GB2312" w:hAnsi="CESI仿宋-GB13000" w:eastAsia="仿宋_GB2312" w:cs="CESI仿宋-GB13000"/>
          <w:b w:val="0"/>
          <w:bCs w:val="0"/>
          <w:color w:val="auto"/>
          <w:sz w:val="32"/>
          <w:szCs w:val="32"/>
          <w:lang w:val="en-US" w:eastAsia="zh-CN"/>
        </w:rPr>
        <w:t xml:space="preserve"> </w:t>
      </w:r>
      <w:r>
        <w:rPr>
          <w:rFonts w:hint="eastAsia" w:ascii="仿宋_GB2312" w:hAnsi="CESI仿宋-GB13000" w:eastAsia="仿宋_GB2312" w:cs="CESI仿宋-GB13000"/>
          <w:b w:val="0"/>
          <w:bCs w:val="0"/>
          <w:color w:val="auto"/>
          <w:sz w:val="32"/>
          <w:szCs w:val="32"/>
        </w:rPr>
        <w:t xml:space="preserve"> 各高校应健全校内医疗服务，免费为参保大学生提供健康咨询、健康教育、健康档案管理等服务。</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方正黑体_GBK" w:eastAsia="仿宋_GB2312" w:cs="方正黑体_GBK"/>
          <w:b w:val="0"/>
          <w:bCs w:val="0"/>
          <w:color w:val="auto"/>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jc w:val="center"/>
        <w:textAlignment w:val="auto"/>
        <w:rPr>
          <w:rFonts w:hint="eastAsia" w:ascii="黑体" w:hAnsi="黑体" w:eastAsia="黑体" w:cs="方正黑体_GBK"/>
          <w:b w:val="0"/>
          <w:bCs w:val="0"/>
          <w:color w:val="auto"/>
          <w:sz w:val="32"/>
          <w:szCs w:val="32"/>
        </w:rPr>
      </w:pPr>
      <w:r>
        <w:rPr>
          <w:rFonts w:hint="eastAsia" w:ascii="黑体" w:hAnsi="黑体" w:eastAsia="黑体" w:cs="方正黑体_GBK"/>
          <w:b w:val="0"/>
          <w:bCs w:val="0"/>
          <w:color w:val="auto"/>
          <w:sz w:val="32"/>
          <w:szCs w:val="32"/>
          <w:lang w:val="en-US" w:eastAsia="zh-CN" w:bidi="ar-SA"/>
        </w:rPr>
        <w:t>第五章</w:t>
      </w:r>
      <w:r>
        <w:rPr>
          <w:rFonts w:hint="eastAsia" w:ascii="仿宋_GB2312" w:hAnsi="仿宋_GB2312" w:eastAsia="仿宋_GB2312" w:cs="仿宋_GB2312"/>
          <w:b w:val="0"/>
          <w:bCs w:val="0"/>
          <w:color w:val="auto"/>
          <w:sz w:val="32"/>
          <w:szCs w:val="32"/>
          <w:lang w:val="en-US" w:eastAsia="zh-CN" w:bidi="ar-SA"/>
        </w:rPr>
        <w:t xml:space="preserve"> </w:t>
      </w:r>
      <w:r>
        <w:rPr>
          <w:rFonts w:hint="eastAsia" w:ascii="仿宋_GB2312" w:hAnsi="仿宋_GB2312" w:eastAsia="仿宋_GB2312" w:cs="仿宋_GB2312"/>
          <w:b w:val="0"/>
          <w:bCs w:val="0"/>
          <w:color w:val="auto"/>
          <w:sz w:val="32"/>
          <w:szCs w:val="32"/>
        </w:rPr>
        <w:t xml:space="preserve"> </w:t>
      </w:r>
      <w:r>
        <w:rPr>
          <w:rFonts w:hint="eastAsia" w:ascii="黑体" w:hAnsi="黑体" w:eastAsia="黑体" w:cs="方正黑体_GBK"/>
          <w:b w:val="0"/>
          <w:bCs w:val="0"/>
          <w:color w:val="auto"/>
          <w:sz w:val="32"/>
          <w:szCs w:val="32"/>
        </w:rPr>
        <w:t xml:space="preserve">基金管理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textAlignment w:val="auto"/>
        <w:rPr>
          <w:rFonts w:hint="eastAsia"/>
          <w:b w:val="0"/>
          <w:bCs w:val="0"/>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CESI仿宋-GB13000" w:eastAsia="仿宋_GB2312" w:cs="CESI仿宋-GB13000"/>
          <w:b w:val="0"/>
          <w:bCs w:val="0"/>
          <w:color w:val="auto"/>
          <w:sz w:val="32"/>
          <w:szCs w:val="32"/>
        </w:rPr>
      </w:pPr>
      <w:r>
        <w:rPr>
          <w:rFonts w:hint="eastAsia" w:ascii="楷体_GB2312" w:hAnsi="楷体_GB2312" w:eastAsia="楷体_GB2312" w:cs="楷体_GB2312"/>
          <w:b w:val="0"/>
          <w:bCs w:val="0"/>
          <w:color w:val="auto"/>
          <w:sz w:val="32"/>
          <w:szCs w:val="32"/>
        </w:rPr>
        <w:t>第十六条</w:t>
      </w:r>
      <w:r>
        <w:rPr>
          <w:rFonts w:hint="eastAsia" w:ascii="仿宋_GB2312" w:hAnsi="CESI仿宋-GB13000" w:eastAsia="仿宋_GB2312" w:cs="CESI仿宋-GB13000"/>
          <w:b w:val="0"/>
          <w:bCs w:val="0"/>
          <w:color w:val="auto"/>
          <w:sz w:val="32"/>
          <w:szCs w:val="32"/>
          <w:lang w:val="en-US" w:eastAsia="zh-CN"/>
        </w:rPr>
        <w:t xml:space="preserve"> </w:t>
      </w:r>
      <w:r>
        <w:rPr>
          <w:rFonts w:hint="eastAsia" w:ascii="仿宋_GB2312" w:hAnsi="CESI仿宋-GB13000" w:eastAsia="仿宋_GB2312" w:cs="CESI仿宋-GB13000"/>
          <w:b w:val="0"/>
          <w:bCs w:val="0"/>
          <w:color w:val="auto"/>
          <w:sz w:val="32"/>
          <w:szCs w:val="32"/>
        </w:rPr>
        <w:t xml:space="preserve"> 大学生医保并入城乡居民医保基金合并管理、统一核算。</w:t>
      </w:r>
    </w:p>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b w:val="0"/>
          <w:bCs w:val="0"/>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jc w:val="center"/>
        <w:textAlignment w:val="auto"/>
        <w:rPr>
          <w:rFonts w:hint="eastAsia" w:ascii="黑体" w:hAnsi="黑体" w:eastAsia="黑体" w:cs="方正黑体_GBK"/>
          <w:b w:val="0"/>
          <w:bCs w:val="0"/>
          <w:color w:val="auto"/>
          <w:sz w:val="32"/>
          <w:szCs w:val="32"/>
        </w:rPr>
      </w:pPr>
      <w:r>
        <w:rPr>
          <w:rFonts w:hint="eastAsia" w:ascii="黑体" w:hAnsi="黑体" w:eastAsia="黑体" w:cs="方正黑体_GBK"/>
          <w:b w:val="0"/>
          <w:bCs w:val="0"/>
          <w:color w:val="auto"/>
          <w:sz w:val="32"/>
          <w:szCs w:val="32"/>
          <w:lang w:val="en-US" w:eastAsia="zh-CN" w:bidi="ar-SA"/>
        </w:rPr>
        <w:t>第六章</w:t>
      </w:r>
      <w:r>
        <w:rPr>
          <w:rFonts w:hint="eastAsia" w:ascii="仿宋_GB2312" w:hAnsi="仿宋_GB2312" w:eastAsia="仿宋_GB2312" w:cs="仿宋_GB2312"/>
          <w:b w:val="0"/>
          <w:bCs w:val="0"/>
          <w:color w:val="auto"/>
          <w:sz w:val="32"/>
          <w:szCs w:val="32"/>
          <w:lang w:val="en-US" w:eastAsia="zh-CN" w:bidi="ar-SA"/>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黑体" w:hAnsi="黑体" w:eastAsia="黑体" w:cs="方正黑体_GBK"/>
          <w:b w:val="0"/>
          <w:bCs w:val="0"/>
          <w:color w:val="auto"/>
          <w:sz w:val="32"/>
          <w:szCs w:val="32"/>
        </w:rPr>
        <w:t>组织实施</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textAlignment w:val="auto"/>
        <w:rPr>
          <w:rFonts w:hint="eastAsia"/>
          <w:b w:val="0"/>
          <w:bCs w:val="0"/>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CESI仿宋-GB13000" w:eastAsia="仿宋_GB2312" w:cs="CESI仿宋-GB13000"/>
          <w:b w:val="0"/>
          <w:bCs w:val="0"/>
          <w:color w:val="auto"/>
          <w:sz w:val="32"/>
          <w:szCs w:val="32"/>
        </w:rPr>
      </w:pPr>
      <w:r>
        <w:rPr>
          <w:rFonts w:hint="eastAsia" w:ascii="楷体_GB2312" w:hAnsi="楷体_GB2312" w:eastAsia="楷体_GB2312" w:cs="楷体_GB2312"/>
          <w:b w:val="0"/>
          <w:bCs w:val="0"/>
          <w:color w:val="auto"/>
          <w:sz w:val="32"/>
          <w:szCs w:val="32"/>
        </w:rPr>
        <w:t>第十七条</w:t>
      </w:r>
      <w:r>
        <w:rPr>
          <w:rFonts w:hint="eastAsia" w:ascii="仿宋_GB2312" w:hAnsi="CESI仿宋-GB13000" w:eastAsia="仿宋_GB2312" w:cs="CESI仿宋-GB13000"/>
          <w:b w:val="0"/>
          <w:bCs w:val="0"/>
          <w:color w:val="auto"/>
          <w:sz w:val="32"/>
          <w:szCs w:val="32"/>
          <w:lang w:val="en-US" w:eastAsia="zh-CN"/>
        </w:rPr>
        <w:t xml:space="preserve"> </w:t>
      </w:r>
      <w:r>
        <w:rPr>
          <w:rFonts w:hint="eastAsia" w:ascii="仿宋_GB2312" w:hAnsi="CESI仿宋-GB13000" w:eastAsia="仿宋_GB2312" w:cs="CESI仿宋-GB13000"/>
          <w:b w:val="0"/>
          <w:bCs w:val="0"/>
          <w:color w:val="auto"/>
          <w:sz w:val="32"/>
          <w:szCs w:val="32"/>
        </w:rPr>
        <w:t xml:space="preserve"> 医保、财政、税务、高校等部门建立协同机制，加强业务培训、数据共享、督导检查，提升大学生医保服务与管理水平。医保部门负责大学生参加城乡居民基本医保统筹规划、政策制定与监督管理；财政部门负责落实财政补助，会同医保部门加强基金预算管理；市税务部门负责保费征收；各高校负责本校大学生参保动员、参保登记、信息核对与变更、政策宣传、门诊包干管理等具体工作，确保应保尽保。</w:t>
      </w:r>
    </w:p>
    <w:p>
      <w:pPr>
        <w:pStyle w:val="5"/>
        <w:keepNext w:val="0"/>
        <w:keepLines w:val="0"/>
        <w:pageBreakBefore w:val="0"/>
        <w:widowControl w:val="0"/>
        <w:kinsoku/>
        <w:wordWrap/>
        <w:overflowPunct/>
        <w:topLinePunct w:val="0"/>
        <w:autoSpaceDE/>
        <w:autoSpaceDN/>
        <w:bidi w:val="0"/>
        <w:adjustRightInd/>
        <w:snapToGrid/>
        <w:spacing w:before="0" w:after="0" w:line="560" w:lineRule="exact"/>
        <w:ind w:left="0"/>
        <w:textAlignment w:val="auto"/>
        <w:rPr>
          <w:rFonts w:hint="eastAsia"/>
          <w:b w:val="0"/>
          <w:bCs w:val="0"/>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jc w:val="center"/>
        <w:textAlignment w:val="auto"/>
        <w:rPr>
          <w:rFonts w:hint="eastAsia" w:ascii="黑体" w:hAnsi="黑体" w:eastAsia="黑体" w:cs="方正黑体_GBK"/>
          <w:b w:val="0"/>
          <w:bCs w:val="0"/>
          <w:color w:val="auto"/>
          <w:sz w:val="32"/>
          <w:szCs w:val="32"/>
        </w:rPr>
      </w:pPr>
      <w:r>
        <w:rPr>
          <w:rFonts w:hint="eastAsia" w:ascii="黑体" w:hAnsi="黑体" w:eastAsia="黑体" w:cs="方正黑体_GBK"/>
          <w:b w:val="0"/>
          <w:bCs w:val="0"/>
          <w:color w:val="auto"/>
          <w:sz w:val="32"/>
          <w:szCs w:val="32"/>
          <w:lang w:val="en-US" w:eastAsia="zh-CN" w:bidi="ar-SA"/>
        </w:rPr>
        <w:t>第七章</w:t>
      </w: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黑体" w:hAnsi="黑体" w:eastAsia="黑体" w:cs="方正黑体_GBK"/>
          <w:b w:val="0"/>
          <w:bCs w:val="0"/>
          <w:color w:val="auto"/>
          <w:sz w:val="32"/>
          <w:szCs w:val="32"/>
        </w:rPr>
        <w:t>附</w:t>
      </w:r>
      <w:r>
        <w:rPr>
          <w:rFonts w:hint="eastAsia" w:ascii="仿宋_GB2312" w:hAnsi="仿宋_GB2312" w:eastAsia="仿宋_GB2312" w:cs="仿宋_GB2312"/>
          <w:b w:val="0"/>
          <w:bCs w:val="0"/>
          <w:color w:val="auto"/>
          <w:sz w:val="32"/>
          <w:szCs w:val="32"/>
          <w:lang w:val="en-US" w:eastAsia="zh-CN"/>
        </w:rPr>
        <w:t xml:space="preserve">    </w:t>
      </w:r>
      <w:r>
        <w:rPr>
          <w:rFonts w:hint="eastAsia" w:ascii="黑体" w:hAnsi="黑体" w:eastAsia="黑体" w:cs="方正黑体_GBK"/>
          <w:b w:val="0"/>
          <w:bCs w:val="0"/>
          <w:color w:val="auto"/>
          <w:sz w:val="32"/>
          <w:szCs w:val="32"/>
        </w:rPr>
        <w:t>则</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textAlignment w:val="auto"/>
        <w:rPr>
          <w:rFonts w:hint="eastAsia"/>
          <w:b w:val="0"/>
          <w:bCs w:val="0"/>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楷体_GB2312" w:hAnsi="楷体_GB2312" w:eastAsia="楷体_GB2312" w:cs="楷体_GB2312"/>
          <w:b w:val="0"/>
          <w:bCs w:val="0"/>
          <w:color w:val="auto"/>
          <w:sz w:val="32"/>
          <w:szCs w:val="32"/>
        </w:rPr>
        <w:t>第十八条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 xml:space="preserve"> </w:t>
      </w:r>
      <w:r>
        <w:rPr>
          <w:rFonts w:hint="default" w:ascii="Times New Roman" w:hAnsi="Times New Roman" w:eastAsia="仿宋_GB2312" w:cs="Times New Roman"/>
          <w:b w:val="0"/>
          <w:bCs w:val="0"/>
          <w:color w:val="auto"/>
          <w:sz w:val="32"/>
          <w:szCs w:val="32"/>
        </w:rPr>
        <w:t>本办法自2026年7月1日起施行。《淮南市人民政府办公室关于印发淮南市高等学校在校大学生参加城镇居民基本医疗保险试行办法的通知》（淮府办〔2008〕92号）同步废止，其他原有规定与本办法不一致的，以本办法为准。国家、省出台新政策的，从其规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rPr>
      </w:pPr>
      <w:r>
        <w:rPr>
          <w:rFonts w:hint="default" w:ascii="楷体_GB2312" w:hAnsi="楷体_GB2312" w:eastAsia="楷体_GB2312" w:cs="楷体_GB2312"/>
          <w:b w:val="0"/>
          <w:bCs w:val="0"/>
          <w:color w:val="auto"/>
          <w:sz w:val="32"/>
          <w:szCs w:val="32"/>
        </w:rPr>
        <w:t>第十九条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 xml:space="preserve"> </w:t>
      </w:r>
      <w:r>
        <w:rPr>
          <w:rFonts w:hint="default" w:ascii="Times New Roman" w:hAnsi="Times New Roman" w:eastAsia="仿宋_GB2312" w:cs="Times New Roman"/>
          <w:b w:val="0"/>
          <w:bCs w:val="0"/>
          <w:color w:val="auto"/>
          <w:sz w:val="32"/>
          <w:szCs w:val="32"/>
        </w:rPr>
        <w:t>本办法由市医疗保障局、市财政局、市税务局负责解释。</w:t>
      </w:r>
    </w:p>
    <w:p>
      <w:pPr>
        <w:wordWrap w:val="0"/>
        <w:spacing w:line="580" w:lineRule="exact"/>
        <w:rPr>
          <w:rFonts w:hint="eastAsia" w:ascii="Times New Roman" w:hAnsi="Times New Roman" w:eastAsia="黑体" w:cs="Times New Roman"/>
          <w:b w:val="0"/>
          <w:bCs w:val="0"/>
          <w:color w:val="auto"/>
          <w:sz w:val="32"/>
          <w:szCs w:val="32"/>
        </w:rPr>
      </w:pPr>
    </w:p>
    <w:p>
      <w:pPr>
        <w:pStyle w:val="2"/>
        <w:rPr>
          <w:rFonts w:hint="eastAsia" w:ascii="Times New Roman" w:hAnsi="Times New Roman" w:eastAsia="黑体" w:cs="Times New Roman"/>
          <w:b w:val="0"/>
          <w:bCs w:val="0"/>
          <w:color w:val="auto"/>
          <w:sz w:val="32"/>
          <w:szCs w:val="32"/>
        </w:rPr>
      </w:pPr>
    </w:p>
    <w:p>
      <w:pPr>
        <w:pStyle w:val="3"/>
        <w:rPr>
          <w:rFonts w:hint="eastAsia" w:ascii="Times New Roman" w:hAnsi="Times New Roman" w:eastAsia="黑体" w:cs="Times New Roman"/>
          <w:b w:val="0"/>
          <w:bCs w:val="0"/>
          <w:color w:val="auto"/>
          <w:sz w:val="32"/>
          <w:szCs w:val="32"/>
        </w:rPr>
      </w:pPr>
    </w:p>
    <w:p>
      <w:pPr>
        <w:pStyle w:val="3"/>
        <w:rPr>
          <w:rFonts w:hint="eastAsia" w:ascii="Times New Roman" w:hAnsi="Times New Roman" w:eastAsia="黑体" w:cs="Times New Roman"/>
          <w:b w:val="0"/>
          <w:bCs w:val="0"/>
          <w:color w:val="auto"/>
          <w:sz w:val="32"/>
          <w:szCs w:val="32"/>
        </w:rPr>
      </w:pPr>
    </w:p>
    <w:p>
      <w:pPr>
        <w:pStyle w:val="3"/>
        <w:rPr>
          <w:rFonts w:hint="eastAsia" w:ascii="Times New Roman" w:hAnsi="Times New Roman" w:eastAsia="黑体" w:cs="Times New Roman"/>
          <w:b w:val="0"/>
          <w:bCs w:val="0"/>
          <w:color w:val="auto"/>
          <w:sz w:val="32"/>
          <w:szCs w:val="32"/>
        </w:rPr>
      </w:pPr>
    </w:p>
    <w:p>
      <w:pPr>
        <w:pStyle w:val="3"/>
        <w:rPr>
          <w:rFonts w:hint="eastAsia" w:ascii="Times New Roman" w:hAnsi="Times New Roman" w:eastAsia="黑体" w:cs="Times New Roman"/>
          <w:b w:val="0"/>
          <w:bCs w:val="0"/>
          <w:color w:val="auto"/>
          <w:sz w:val="32"/>
          <w:szCs w:val="32"/>
        </w:rPr>
      </w:pPr>
    </w:p>
    <w:p>
      <w:pPr>
        <w:pStyle w:val="3"/>
        <w:rPr>
          <w:rFonts w:hint="eastAsia" w:ascii="Times New Roman" w:hAnsi="Times New Roman" w:eastAsia="黑体" w:cs="Times New Roman"/>
          <w:b w:val="0"/>
          <w:bCs w:val="0"/>
          <w:color w:val="auto"/>
          <w:sz w:val="32"/>
          <w:szCs w:val="32"/>
        </w:rPr>
      </w:pPr>
    </w:p>
    <w:p>
      <w:pPr>
        <w:pStyle w:val="3"/>
        <w:rPr>
          <w:rFonts w:hint="eastAsia" w:ascii="Times New Roman" w:hAnsi="Times New Roman" w:eastAsia="黑体" w:cs="Times New Roman"/>
          <w:b w:val="0"/>
          <w:bCs w:val="0"/>
          <w:color w:val="auto"/>
          <w:sz w:val="32"/>
          <w:szCs w:val="32"/>
        </w:rPr>
      </w:pPr>
    </w:p>
    <w:p>
      <w:pPr>
        <w:pStyle w:val="3"/>
        <w:rPr>
          <w:rFonts w:hint="eastAsia" w:ascii="Times New Roman" w:hAnsi="Times New Roman" w:eastAsia="黑体" w:cs="Times New Roman"/>
          <w:b w:val="0"/>
          <w:bCs w:val="0"/>
          <w:color w:val="auto"/>
          <w:sz w:val="32"/>
          <w:szCs w:val="32"/>
        </w:rPr>
      </w:pPr>
    </w:p>
    <w:p>
      <w:pPr>
        <w:pStyle w:val="3"/>
        <w:rPr>
          <w:rFonts w:hint="eastAsia" w:ascii="Times New Roman" w:hAnsi="Times New Roman" w:eastAsia="黑体" w:cs="Times New Roman"/>
          <w:b w:val="0"/>
          <w:bCs w:val="0"/>
          <w:color w:val="auto"/>
          <w:sz w:val="32"/>
          <w:szCs w:val="32"/>
        </w:rPr>
      </w:pPr>
    </w:p>
    <w:p>
      <w:pPr>
        <w:pStyle w:val="3"/>
        <w:rPr>
          <w:rFonts w:hint="eastAsia" w:ascii="Times New Roman" w:hAnsi="Times New Roman" w:eastAsia="仿宋_GB2312" w:cs="Times New Roman"/>
          <w:b w:val="0"/>
          <w:bCs w:val="0"/>
          <w:color w:val="auto"/>
          <w:sz w:val="32"/>
          <w:szCs w:val="32"/>
          <w:lang w:val="en" w:eastAsia="zh-CN"/>
        </w:rPr>
      </w:pPr>
    </w:p>
    <w:sectPr>
      <w:headerReference r:id="rId3" w:type="default"/>
      <w:footerReference r:id="rId4" w:type="default"/>
      <w:pgSz w:w="11906" w:h="16838"/>
      <w:pgMar w:top="2098" w:right="1531" w:bottom="1985" w:left="1531"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Cambria">
    <w:altName w:val="Noto Sans Syriac Eastern"/>
    <w:panose1 w:val="02040503050406030204"/>
    <w:charset w:val="00"/>
    <w:family w:val="roman"/>
    <w:pitch w:val="default"/>
    <w:sig w:usb0="00000000" w:usb1="00000000" w:usb2="02000000" w:usb3="00000000" w:csb0="2000019F" w:csb1="00000000"/>
  </w:font>
  <w:font w:name="楷体_GB2312">
    <w:panose1 w:val="02010609030101010101"/>
    <w:charset w:val="86"/>
    <w:family w:val="swiss"/>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w:rPr>
        <w:sz w:val="18"/>
      </w:rPr>
      <mc:AlternateContent>
        <mc:Choice Requires="wps">
          <w:drawing>
            <wp:anchor distT="0" distB="0" distL="114300" distR="114300" simplePos="0" relativeHeight="25270579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270579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1"/>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4C6C30"/>
    <w:multiLevelType w:val="multilevel"/>
    <w:tmpl w:val="224C6C30"/>
    <w:lvl w:ilvl="0" w:tentative="0">
      <w:start w:val="1"/>
      <w:numFmt w:val="chineseCountingThousand"/>
      <w:pStyle w:val="35"/>
      <w:lvlText w:val="第%1条 "/>
      <w:lvlJc w:val="left"/>
      <w:pPr>
        <w:tabs>
          <w:tab w:val="left" w:pos="1413"/>
        </w:tabs>
        <w:ind w:left="1413" w:hanging="420"/>
      </w:pPr>
      <w:rPr>
        <w:rFonts w:hint="eastAsia" w:ascii="FangSong_GB2312" w:eastAsia="FangSong_GB2312" w:cs="Times New Roman"/>
        <w:b/>
        <w:color w:val="000000"/>
        <w:sz w:val="32"/>
        <w:szCs w:val="32"/>
      </w:rPr>
    </w:lvl>
    <w:lvl w:ilvl="1" w:tentative="0">
      <w:start w:val="1"/>
      <w:numFmt w:val="lowerLetter"/>
      <w:lvlText w:val="%2)"/>
      <w:lvlJc w:val="left"/>
      <w:pPr>
        <w:tabs>
          <w:tab w:val="left" w:pos="556"/>
        </w:tabs>
        <w:ind w:left="556" w:hanging="420"/>
      </w:pPr>
      <w:rPr>
        <w:rFonts w:cs="Times New Roman"/>
      </w:rPr>
    </w:lvl>
    <w:lvl w:ilvl="2" w:tentative="0">
      <w:start w:val="1"/>
      <w:numFmt w:val="lowerRoman"/>
      <w:lvlText w:val="%3."/>
      <w:lvlJc w:val="right"/>
      <w:pPr>
        <w:tabs>
          <w:tab w:val="left" w:pos="976"/>
        </w:tabs>
        <w:ind w:left="976" w:hanging="420"/>
      </w:pPr>
      <w:rPr>
        <w:rFonts w:cs="Times New Roman"/>
      </w:rPr>
    </w:lvl>
    <w:lvl w:ilvl="3" w:tentative="0">
      <w:start w:val="1"/>
      <w:numFmt w:val="decimal"/>
      <w:lvlText w:val="%4."/>
      <w:lvlJc w:val="left"/>
      <w:pPr>
        <w:tabs>
          <w:tab w:val="left" w:pos="1396"/>
        </w:tabs>
        <w:ind w:left="1396" w:hanging="420"/>
      </w:pPr>
      <w:rPr>
        <w:rFonts w:cs="Times New Roman"/>
      </w:rPr>
    </w:lvl>
    <w:lvl w:ilvl="4" w:tentative="0">
      <w:start w:val="1"/>
      <w:numFmt w:val="lowerLetter"/>
      <w:lvlText w:val="%5)"/>
      <w:lvlJc w:val="left"/>
      <w:pPr>
        <w:tabs>
          <w:tab w:val="left" w:pos="1816"/>
        </w:tabs>
        <w:ind w:left="1816" w:hanging="420"/>
      </w:pPr>
      <w:rPr>
        <w:rFonts w:cs="Times New Roman"/>
      </w:rPr>
    </w:lvl>
    <w:lvl w:ilvl="5" w:tentative="0">
      <w:start w:val="1"/>
      <w:numFmt w:val="lowerRoman"/>
      <w:lvlText w:val="%6."/>
      <w:lvlJc w:val="right"/>
      <w:pPr>
        <w:tabs>
          <w:tab w:val="left" w:pos="2236"/>
        </w:tabs>
        <w:ind w:left="2236" w:hanging="420"/>
      </w:pPr>
      <w:rPr>
        <w:rFonts w:cs="Times New Roman"/>
      </w:rPr>
    </w:lvl>
    <w:lvl w:ilvl="6" w:tentative="0">
      <w:start w:val="1"/>
      <w:numFmt w:val="decimal"/>
      <w:lvlText w:val="%7."/>
      <w:lvlJc w:val="left"/>
      <w:pPr>
        <w:tabs>
          <w:tab w:val="left" w:pos="2656"/>
        </w:tabs>
        <w:ind w:left="2656" w:hanging="420"/>
      </w:pPr>
      <w:rPr>
        <w:rFonts w:cs="Times New Roman"/>
      </w:rPr>
    </w:lvl>
    <w:lvl w:ilvl="7" w:tentative="0">
      <w:start w:val="1"/>
      <w:numFmt w:val="lowerLetter"/>
      <w:lvlText w:val="%8)"/>
      <w:lvlJc w:val="left"/>
      <w:pPr>
        <w:tabs>
          <w:tab w:val="left" w:pos="3076"/>
        </w:tabs>
        <w:ind w:left="3076" w:hanging="420"/>
      </w:pPr>
      <w:rPr>
        <w:rFonts w:cs="Times New Roman"/>
      </w:rPr>
    </w:lvl>
    <w:lvl w:ilvl="8" w:tentative="0">
      <w:start w:val="1"/>
      <w:numFmt w:val="lowerRoman"/>
      <w:lvlText w:val="%9."/>
      <w:lvlJc w:val="right"/>
      <w:pPr>
        <w:tabs>
          <w:tab w:val="left" w:pos="3496"/>
        </w:tabs>
        <w:ind w:left="3496"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zZDY1ODgzZjZjOTZjMGExNmMwN2RkNWZlNGJiNWYifQ=="/>
  </w:docVars>
  <w:rsids>
    <w:rsidRoot w:val="00172A27"/>
    <w:rsid w:val="00001780"/>
    <w:rsid w:val="0010661E"/>
    <w:rsid w:val="00172A27"/>
    <w:rsid w:val="003012C3"/>
    <w:rsid w:val="003E665C"/>
    <w:rsid w:val="00413693"/>
    <w:rsid w:val="00460E14"/>
    <w:rsid w:val="0048326D"/>
    <w:rsid w:val="00485CE3"/>
    <w:rsid w:val="004D76D9"/>
    <w:rsid w:val="0052403B"/>
    <w:rsid w:val="00587DD6"/>
    <w:rsid w:val="005A799B"/>
    <w:rsid w:val="005B7ABF"/>
    <w:rsid w:val="005E6BCF"/>
    <w:rsid w:val="00653FC3"/>
    <w:rsid w:val="006E4C2D"/>
    <w:rsid w:val="00725E53"/>
    <w:rsid w:val="007B687B"/>
    <w:rsid w:val="009047E9"/>
    <w:rsid w:val="00925BEF"/>
    <w:rsid w:val="00A65040"/>
    <w:rsid w:val="00B3101E"/>
    <w:rsid w:val="00C131B5"/>
    <w:rsid w:val="00C3489C"/>
    <w:rsid w:val="00CA0EA1"/>
    <w:rsid w:val="00D95DCD"/>
    <w:rsid w:val="00DE1581"/>
    <w:rsid w:val="00E676DB"/>
    <w:rsid w:val="00EB15FC"/>
    <w:rsid w:val="00EE17E6"/>
    <w:rsid w:val="00F812F8"/>
    <w:rsid w:val="00FA1280"/>
    <w:rsid w:val="01A47594"/>
    <w:rsid w:val="01E41725"/>
    <w:rsid w:val="02673E31"/>
    <w:rsid w:val="02D71E26"/>
    <w:rsid w:val="0351655A"/>
    <w:rsid w:val="0361744C"/>
    <w:rsid w:val="03A95478"/>
    <w:rsid w:val="040B4C92"/>
    <w:rsid w:val="05064366"/>
    <w:rsid w:val="05716E34"/>
    <w:rsid w:val="0705046C"/>
    <w:rsid w:val="08AD4EA0"/>
    <w:rsid w:val="08CD0A4B"/>
    <w:rsid w:val="09996991"/>
    <w:rsid w:val="0AA86B53"/>
    <w:rsid w:val="0BC374EB"/>
    <w:rsid w:val="0BF32E99"/>
    <w:rsid w:val="0D084944"/>
    <w:rsid w:val="0DC4261A"/>
    <w:rsid w:val="0DFC07B5"/>
    <w:rsid w:val="0E9ED0D5"/>
    <w:rsid w:val="0EB10FAD"/>
    <w:rsid w:val="0F8F1E7B"/>
    <w:rsid w:val="0F9642AB"/>
    <w:rsid w:val="11900B85"/>
    <w:rsid w:val="11DA249E"/>
    <w:rsid w:val="136BBCB1"/>
    <w:rsid w:val="13812517"/>
    <w:rsid w:val="14151B48"/>
    <w:rsid w:val="15D050C1"/>
    <w:rsid w:val="1729113B"/>
    <w:rsid w:val="17790B71"/>
    <w:rsid w:val="17A27440"/>
    <w:rsid w:val="184B42EB"/>
    <w:rsid w:val="187266FE"/>
    <w:rsid w:val="19171672"/>
    <w:rsid w:val="19837C9B"/>
    <w:rsid w:val="19976326"/>
    <w:rsid w:val="19CB0D20"/>
    <w:rsid w:val="1BAF6973"/>
    <w:rsid w:val="1C197688"/>
    <w:rsid w:val="1CF62013"/>
    <w:rsid w:val="1DFFF4EF"/>
    <w:rsid w:val="1EEFD217"/>
    <w:rsid w:val="1F0D65F3"/>
    <w:rsid w:val="1F2C09C1"/>
    <w:rsid w:val="1F7F4578"/>
    <w:rsid w:val="202D23E6"/>
    <w:rsid w:val="20FE79F0"/>
    <w:rsid w:val="22173490"/>
    <w:rsid w:val="2259169F"/>
    <w:rsid w:val="2270748C"/>
    <w:rsid w:val="22C3795E"/>
    <w:rsid w:val="232851C2"/>
    <w:rsid w:val="245102F6"/>
    <w:rsid w:val="248541C1"/>
    <w:rsid w:val="24EA2F8E"/>
    <w:rsid w:val="25A4341D"/>
    <w:rsid w:val="25F04B3A"/>
    <w:rsid w:val="261F4BBF"/>
    <w:rsid w:val="265F71C7"/>
    <w:rsid w:val="278706B7"/>
    <w:rsid w:val="280E3B04"/>
    <w:rsid w:val="28F258F2"/>
    <w:rsid w:val="29D53E34"/>
    <w:rsid w:val="29E60562"/>
    <w:rsid w:val="2AB72712"/>
    <w:rsid w:val="2B472590"/>
    <w:rsid w:val="2B4E4D82"/>
    <w:rsid w:val="2CA075EC"/>
    <w:rsid w:val="2CB63AE5"/>
    <w:rsid w:val="2D6C6312"/>
    <w:rsid w:val="2DAC4040"/>
    <w:rsid w:val="2DD76150"/>
    <w:rsid w:val="2DFB53CC"/>
    <w:rsid w:val="2EC645CC"/>
    <w:rsid w:val="2F682255"/>
    <w:rsid w:val="2F6A0D1D"/>
    <w:rsid w:val="30415BB7"/>
    <w:rsid w:val="30860231"/>
    <w:rsid w:val="33482E86"/>
    <w:rsid w:val="33B92A11"/>
    <w:rsid w:val="34FDC295"/>
    <w:rsid w:val="357D4D11"/>
    <w:rsid w:val="35A9FBDD"/>
    <w:rsid w:val="367B4B19"/>
    <w:rsid w:val="36DF56DE"/>
    <w:rsid w:val="37445A78"/>
    <w:rsid w:val="374B0A1A"/>
    <w:rsid w:val="375EE458"/>
    <w:rsid w:val="378212D9"/>
    <w:rsid w:val="379E564B"/>
    <w:rsid w:val="37BF7D32"/>
    <w:rsid w:val="37FB0E3D"/>
    <w:rsid w:val="37FED0AC"/>
    <w:rsid w:val="38696C66"/>
    <w:rsid w:val="38A057F1"/>
    <w:rsid w:val="395B2489"/>
    <w:rsid w:val="39BC478E"/>
    <w:rsid w:val="39C743AD"/>
    <w:rsid w:val="3A0D8A25"/>
    <w:rsid w:val="3A28016C"/>
    <w:rsid w:val="3AA16107"/>
    <w:rsid w:val="3AE27CDF"/>
    <w:rsid w:val="3AFB47F4"/>
    <w:rsid w:val="3B39A05F"/>
    <w:rsid w:val="3B3A5C57"/>
    <w:rsid w:val="3B506FD5"/>
    <w:rsid w:val="3B8F713A"/>
    <w:rsid w:val="3B9D56D2"/>
    <w:rsid w:val="3BC22E70"/>
    <w:rsid w:val="3BF6B1EC"/>
    <w:rsid w:val="3BFD3B12"/>
    <w:rsid w:val="3CEE95FA"/>
    <w:rsid w:val="3D77613E"/>
    <w:rsid w:val="3D9FB969"/>
    <w:rsid w:val="3DCA06C6"/>
    <w:rsid w:val="3DFDBC15"/>
    <w:rsid w:val="3E147747"/>
    <w:rsid w:val="3E1B6689"/>
    <w:rsid w:val="3EF392A6"/>
    <w:rsid w:val="3F5F8EF9"/>
    <w:rsid w:val="3FA9A668"/>
    <w:rsid w:val="3FBF844E"/>
    <w:rsid w:val="3FFD3FFE"/>
    <w:rsid w:val="3FFFED11"/>
    <w:rsid w:val="409275F6"/>
    <w:rsid w:val="41B86EB8"/>
    <w:rsid w:val="42CB1F63"/>
    <w:rsid w:val="433A4061"/>
    <w:rsid w:val="435518CA"/>
    <w:rsid w:val="444B5422"/>
    <w:rsid w:val="45D406D3"/>
    <w:rsid w:val="45FFB046"/>
    <w:rsid w:val="46A62676"/>
    <w:rsid w:val="470107C6"/>
    <w:rsid w:val="471132C7"/>
    <w:rsid w:val="471A58F9"/>
    <w:rsid w:val="471E535B"/>
    <w:rsid w:val="473E3747"/>
    <w:rsid w:val="493765CD"/>
    <w:rsid w:val="49E00391"/>
    <w:rsid w:val="4AAD2D0B"/>
    <w:rsid w:val="4ABB627E"/>
    <w:rsid w:val="4AD17ECF"/>
    <w:rsid w:val="4C357093"/>
    <w:rsid w:val="4C4D4249"/>
    <w:rsid w:val="4CB4575B"/>
    <w:rsid w:val="4CBE05AA"/>
    <w:rsid w:val="4D2765F8"/>
    <w:rsid w:val="4DEF4F42"/>
    <w:rsid w:val="4E5528C9"/>
    <w:rsid w:val="4F72427F"/>
    <w:rsid w:val="4FB67015"/>
    <w:rsid w:val="50F53C73"/>
    <w:rsid w:val="5132184A"/>
    <w:rsid w:val="516F74C5"/>
    <w:rsid w:val="52E10845"/>
    <w:rsid w:val="541F1249"/>
    <w:rsid w:val="548240CE"/>
    <w:rsid w:val="55C46911"/>
    <w:rsid w:val="57300087"/>
    <w:rsid w:val="5978493D"/>
    <w:rsid w:val="59802C8F"/>
    <w:rsid w:val="5A570624"/>
    <w:rsid w:val="5A8877D8"/>
    <w:rsid w:val="5B2D3C1A"/>
    <w:rsid w:val="5B637321"/>
    <w:rsid w:val="5B796833"/>
    <w:rsid w:val="5BE1363C"/>
    <w:rsid w:val="5C132F6D"/>
    <w:rsid w:val="5C727BDD"/>
    <w:rsid w:val="5DFFCB4B"/>
    <w:rsid w:val="5E744511"/>
    <w:rsid w:val="5E7F934A"/>
    <w:rsid w:val="5EBD7DE0"/>
    <w:rsid w:val="5F9E38F3"/>
    <w:rsid w:val="5FAA113E"/>
    <w:rsid w:val="5FD6F6FC"/>
    <w:rsid w:val="5FDF9058"/>
    <w:rsid w:val="60882509"/>
    <w:rsid w:val="60B16A3C"/>
    <w:rsid w:val="61B7004F"/>
    <w:rsid w:val="62D71917"/>
    <w:rsid w:val="62F728A5"/>
    <w:rsid w:val="63F029C2"/>
    <w:rsid w:val="641E66F9"/>
    <w:rsid w:val="65184EA7"/>
    <w:rsid w:val="65396FB0"/>
    <w:rsid w:val="655C636F"/>
    <w:rsid w:val="65733B85"/>
    <w:rsid w:val="674C3ECD"/>
    <w:rsid w:val="67EF78D4"/>
    <w:rsid w:val="67FB26D8"/>
    <w:rsid w:val="68B14F67"/>
    <w:rsid w:val="68E16EF6"/>
    <w:rsid w:val="69F726C7"/>
    <w:rsid w:val="69FF8FF4"/>
    <w:rsid w:val="6ABB3E51"/>
    <w:rsid w:val="6AD468D6"/>
    <w:rsid w:val="6B5829DB"/>
    <w:rsid w:val="6C390E0B"/>
    <w:rsid w:val="6C4D5FCD"/>
    <w:rsid w:val="6C6B06AD"/>
    <w:rsid w:val="6CC50C05"/>
    <w:rsid w:val="6CD4366F"/>
    <w:rsid w:val="6D370120"/>
    <w:rsid w:val="6DD0150E"/>
    <w:rsid w:val="6DD40EA1"/>
    <w:rsid w:val="6E2241F4"/>
    <w:rsid w:val="6F597DE8"/>
    <w:rsid w:val="6F7A7EE1"/>
    <w:rsid w:val="6F7C1894"/>
    <w:rsid w:val="6F9759F9"/>
    <w:rsid w:val="6F9F8771"/>
    <w:rsid w:val="6FD775B8"/>
    <w:rsid w:val="6FDB3CD7"/>
    <w:rsid w:val="6FFFA827"/>
    <w:rsid w:val="707E762A"/>
    <w:rsid w:val="70BB0A2E"/>
    <w:rsid w:val="71834FB6"/>
    <w:rsid w:val="72B14EEA"/>
    <w:rsid w:val="72C53877"/>
    <w:rsid w:val="72FFA1CE"/>
    <w:rsid w:val="73031EEF"/>
    <w:rsid w:val="73B9186B"/>
    <w:rsid w:val="73C32009"/>
    <w:rsid w:val="753F944A"/>
    <w:rsid w:val="75FB0F4C"/>
    <w:rsid w:val="76A05309"/>
    <w:rsid w:val="76AFB73D"/>
    <w:rsid w:val="76DFCEB6"/>
    <w:rsid w:val="76EF3065"/>
    <w:rsid w:val="773E59F8"/>
    <w:rsid w:val="777E2D45"/>
    <w:rsid w:val="777FB205"/>
    <w:rsid w:val="778D18F6"/>
    <w:rsid w:val="77EF4411"/>
    <w:rsid w:val="78C7385A"/>
    <w:rsid w:val="795448E1"/>
    <w:rsid w:val="798F0DAA"/>
    <w:rsid w:val="799FD571"/>
    <w:rsid w:val="79D6582C"/>
    <w:rsid w:val="79FC8914"/>
    <w:rsid w:val="7A8D3E3B"/>
    <w:rsid w:val="7ABF4A17"/>
    <w:rsid w:val="7B458176"/>
    <w:rsid w:val="7B6CCBC4"/>
    <w:rsid w:val="7B98384B"/>
    <w:rsid w:val="7BC99763"/>
    <w:rsid w:val="7BDFD5F3"/>
    <w:rsid w:val="7BED5FD7"/>
    <w:rsid w:val="7C7357D2"/>
    <w:rsid w:val="7CE840DF"/>
    <w:rsid w:val="7CF67C8B"/>
    <w:rsid w:val="7CFF8519"/>
    <w:rsid w:val="7D132B4E"/>
    <w:rsid w:val="7D4E2BF5"/>
    <w:rsid w:val="7DD65F6F"/>
    <w:rsid w:val="7E2D8A4E"/>
    <w:rsid w:val="7E37A79A"/>
    <w:rsid w:val="7E7DC0D3"/>
    <w:rsid w:val="7E9B9F81"/>
    <w:rsid w:val="7EF3DAB4"/>
    <w:rsid w:val="7F1C462C"/>
    <w:rsid w:val="7F1D7984"/>
    <w:rsid w:val="7F67BD7B"/>
    <w:rsid w:val="7F6E0080"/>
    <w:rsid w:val="7F77EE0F"/>
    <w:rsid w:val="7F9348C9"/>
    <w:rsid w:val="7F9909EF"/>
    <w:rsid w:val="7FC51C38"/>
    <w:rsid w:val="7FD7B0B0"/>
    <w:rsid w:val="7FE994CE"/>
    <w:rsid w:val="7FEF2EB3"/>
    <w:rsid w:val="7FF57DA6"/>
    <w:rsid w:val="7FFC9803"/>
    <w:rsid w:val="7FFDA607"/>
    <w:rsid w:val="9BFFCA19"/>
    <w:rsid w:val="9FB4F0E9"/>
    <w:rsid w:val="A7E76563"/>
    <w:rsid w:val="A8DC105F"/>
    <w:rsid w:val="AD4B0384"/>
    <w:rsid w:val="AD9E7191"/>
    <w:rsid w:val="B2FD84E7"/>
    <w:rsid w:val="B6974C16"/>
    <w:rsid w:val="B77D13E8"/>
    <w:rsid w:val="BBDE4463"/>
    <w:rsid w:val="BDFE9AE8"/>
    <w:rsid w:val="BFA695F1"/>
    <w:rsid w:val="BFFF95DA"/>
    <w:rsid w:val="CA6F1399"/>
    <w:rsid w:val="CDEFE91C"/>
    <w:rsid w:val="CE7FC6EC"/>
    <w:rsid w:val="CEF766F2"/>
    <w:rsid w:val="CFD684F9"/>
    <w:rsid w:val="D7FD5195"/>
    <w:rsid w:val="D7FDFB43"/>
    <w:rsid w:val="DAE98615"/>
    <w:rsid w:val="DB3A5794"/>
    <w:rsid w:val="DB7F9966"/>
    <w:rsid w:val="DBAB0D3C"/>
    <w:rsid w:val="DFFC4DA0"/>
    <w:rsid w:val="E397DC45"/>
    <w:rsid w:val="E3AFF864"/>
    <w:rsid w:val="E6FC6BEB"/>
    <w:rsid w:val="E73DC8E9"/>
    <w:rsid w:val="E7F3D16E"/>
    <w:rsid w:val="EA6E8F77"/>
    <w:rsid w:val="EB7D9788"/>
    <w:rsid w:val="EBE7B742"/>
    <w:rsid w:val="EDD0D395"/>
    <w:rsid w:val="EDEFC0AD"/>
    <w:rsid w:val="EEFB1626"/>
    <w:rsid w:val="EEFB33D0"/>
    <w:rsid w:val="EF2F737D"/>
    <w:rsid w:val="EF76F9D8"/>
    <w:rsid w:val="EF9F3418"/>
    <w:rsid w:val="EFFA2108"/>
    <w:rsid w:val="F1E630E7"/>
    <w:rsid w:val="F3A45C51"/>
    <w:rsid w:val="F3F2FBBE"/>
    <w:rsid w:val="F4BF6C4C"/>
    <w:rsid w:val="F5FA12E9"/>
    <w:rsid w:val="F7ABBA44"/>
    <w:rsid w:val="F7FB7EAF"/>
    <w:rsid w:val="F7FD89D3"/>
    <w:rsid w:val="F965A811"/>
    <w:rsid w:val="F9F6A198"/>
    <w:rsid w:val="FB879C79"/>
    <w:rsid w:val="FBB9197F"/>
    <w:rsid w:val="FBD708B7"/>
    <w:rsid w:val="FBFF3A26"/>
    <w:rsid w:val="FDD741AA"/>
    <w:rsid w:val="FDFF6EA9"/>
    <w:rsid w:val="FE9F7603"/>
    <w:rsid w:val="FEF75DC3"/>
    <w:rsid w:val="FF9F9BAC"/>
    <w:rsid w:val="FFAB1A93"/>
    <w:rsid w:val="FFAF1951"/>
    <w:rsid w:val="FFDBAC48"/>
    <w:rsid w:val="FFDFA493"/>
    <w:rsid w:val="FFE42994"/>
    <w:rsid w:val="FFEEBE00"/>
    <w:rsid w:val="FFFE30CB"/>
    <w:rsid w:val="FFFF55A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qFormat="1" w:unhideWhenUsed="0" w:uiPriority="0"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9"/>
    <w:pPr>
      <w:keepNext/>
      <w:keepLines/>
      <w:spacing w:line="560" w:lineRule="exact"/>
      <w:ind w:firstLine="0" w:firstLineChars="0"/>
      <w:jc w:val="center"/>
      <w:outlineLvl w:val="0"/>
    </w:pPr>
    <w:rPr>
      <w:rFonts w:eastAsia="方正小标宋简体" w:cs="Calibri"/>
      <w:bCs/>
      <w:kern w:val="44"/>
      <w:sz w:val="44"/>
      <w:szCs w:val="44"/>
    </w:rPr>
  </w:style>
  <w:style w:type="paragraph" w:styleId="5">
    <w:name w:val="heading 2"/>
    <w:basedOn w:val="1"/>
    <w:next w:val="1"/>
    <w:link w:val="34"/>
    <w:qFormat/>
    <w:uiPriority w:val="0"/>
    <w:pPr>
      <w:keepNext/>
      <w:keepLines/>
      <w:spacing w:before="260" w:after="260" w:line="415" w:lineRule="auto"/>
      <w:outlineLvl w:val="1"/>
    </w:pPr>
    <w:rPr>
      <w:rFonts w:ascii="Cambria" w:hAnsi="Cambria" w:cs="Cambria"/>
      <w:b/>
      <w:bCs/>
    </w:rPr>
  </w:style>
  <w:style w:type="paragraph" w:styleId="6">
    <w:name w:val="heading 3"/>
    <w:basedOn w:val="1"/>
    <w:next w:val="1"/>
    <w:link w:val="51"/>
    <w:unhideWhenUsed/>
    <w:qFormat/>
    <w:uiPriority w:val="0"/>
    <w:pPr>
      <w:autoSpaceDE w:val="0"/>
      <w:ind w:firstLine="420"/>
      <w:outlineLvl w:val="2"/>
    </w:pPr>
    <w:rPr>
      <w:rFonts w:hint="eastAsia" w:eastAsia="楷体_GB2312" w:cs="Times New Roman"/>
    </w:rPr>
  </w:style>
  <w:style w:type="character" w:default="1" w:styleId="23">
    <w:name w:val="Default Paragraph Font"/>
    <w:unhideWhenUsed/>
    <w:qFormat/>
    <w:uiPriority w:val="1"/>
  </w:style>
  <w:style w:type="table" w:default="1" w:styleId="21">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1"/>
    <w:rPr>
      <w:rFonts w:ascii="仿宋" w:hAnsi="仿宋" w:eastAsia="仿宋" w:cs="仿宋"/>
      <w:sz w:val="32"/>
      <w:szCs w:val="32"/>
      <w:lang w:val="zh-CN" w:bidi="zh-CN"/>
    </w:rPr>
  </w:style>
  <w:style w:type="paragraph" w:styleId="3">
    <w:name w:val="Body Text 2"/>
    <w:basedOn w:val="1"/>
    <w:qFormat/>
    <w:uiPriority w:val="0"/>
    <w:pPr>
      <w:spacing w:after="120" w:line="480" w:lineRule="auto"/>
    </w:pPr>
    <w:rPr>
      <w:rFonts w:ascii="Calibri" w:hAnsi="Calibri" w:eastAsia="宋体"/>
      <w:kern w:val="0"/>
      <w:szCs w:val="20"/>
    </w:rPr>
  </w:style>
  <w:style w:type="paragraph" w:styleId="7">
    <w:name w:val="Normal Indent"/>
    <w:basedOn w:val="1"/>
    <w:qFormat/>
    <w:uiPriority w:val="0"/>
    <w:pPr>
      <w:ind w:firstLine="420" w:firstLineChars="200"/>
    </w:pPr>
  </w:style>
  <w:style w:type="paragraph" w:styleId="8">
    <w:name w:val="Body Text Indent"/>
    <w:basedOn w:val="1"/>
    <w:qFormat/>
    <w:uiPriority w:val="0"/>
    <w:pPr>
      <w:spacing w:after="120"/>
      <w:ind w:left="420" w:leftChars="200"/>
    </w:pPr>
  </w:style>
  <w:style w:type="paragraph" w:styleId="9">
    <w:name w:val="Date"/>
    <w:basedOn w:val="1"/>
    <w:next w:val="1"/>
    <w:link w:val="30"/>
    <w:unhideWhenUsed/>
    <w:qFormat/>
    <w:uiPriority w:val="99"/>
    <w:pPr>
      <w:ind w:left="100" w:leftChars="2500"/>
    </w:pPr>
  </w:style>
  <w:style w:type="paragraph" w:styleId="10">
    <w:name w:val="Body Text Indent 2"/>
    <w:basedOn w:val="1"/>
    <w:next w:val="1"/>
    <w:unhideWhenUsed/>
    <w:qFormat/>
    <w:uiPriority w:val="99"/>
    <w:pPr>
      <w:spacing w:after="120" w:line="480" w:lineRule="auto"/>
      <w:ind w:left="420" w:leftChars="200"/>
    </w:pPr>
    <w:rPr>
      <w:rFonts w:ascii="仿宋_GB2312" w:hAnsi="Calibri" w:eastAsia="仿宋_GB2312" w:cs="Times New Roman"/>
      <w:sz w:val="32"/>
      <w:szCs w:val="32"/>
    </w:rPr>
  </w:style>
  <w:style w:type="paragraph" w:styleId="11">
    <w:name w:val="footer"/>
    <w:basedOn w:val="1"/>
    <w:link w:val="29"/>
    <w:unhideWhenUsed/>
    <w:qFormat/>
    <w:uiPriority w:val="99"/>
    <w:pPr>
      <w:tabs>
        <w:tab w:val="center" w:pos="4153"/>
        <w:tab w:val="right" w:pos="8306"/>
      </w:tabs>
      <w:snapToGrid w:val="0"/>
      <w:jc w:val="left"/>
    </w:pPr>
    <w:rPr>
      <w:sz w:val="18"/>
      <w:szCs w:val="18"/>
    </w:rPr>
  </w:style>
  <w:style w:type="paragraph" w:styleId="12">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tabs>
        <w:tab w:val="right" w:leader="dot" w:pos="9403"/>
      </w:tabs>
      <w:spacing w:before="120" w:after="120"/>
      <w:jc w:val="left"/>
    </w:pPr>
    <w:rPr>
      <w:rFonts w:ascii="宋体"/>
      <w:caps/>
      <w:sz w:val="28"/>
      <w:szCs w:val="28"/>
    </w:rPr>
  </w:style>
  <w:style w:type="paragraph" w:styleId="14">
    <w:name w:val="Subtitle"/>
    <w:basedOn w:val="1"/>
    <w:next w:val="1"/>
    <w:link w:val="47"/>
    <w:qFormat/>
    <w:uiPriority w:val="11"/>
    <w:pPr>
      <w:ind w:firstLine="643"/>
      <w:outlineLvl w:val="1"/>
    </w:pPr>
    <w:rPr>
      <w:rFonts w:eastAsia="楷体_GB2312"/>
      <w:b/>
      <w:bCs/>
      <w:kern w:val="28"/>
      <w:szCs w:val="32"/>
    </w:rPr>
  </w:style>
  <w:style w:type="paragraph" w:styleId="15">
    <w:name w:val="toc 6"/>
    <w:basedOn w:val="1"/>
    <w:next w:val="1"/>
    <w:semiHidden/>
    <w:qFormat/>
    <w:uiPriority w:val="0"/>
    <w:pPr>
      <w:ind w:left="1050"/>
      <w:jc w:val="left"/>
    </w:pPr>
    <w:rPr>
      <w:szCs w:val="21"/>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7">
    <w:name w:val="Normal (Web)"/>
    <w:basedOn w:val="1"/>
    <w:qFormat/>
    <w:uiPriority w:val="0"/>
    <w:pPr>
      <w:spacing w:before="100" w:beforeAutospacing="1" w:after="100" w:afterAutospacing="1"/>
      <w:jc w:val="left"/>
    </w:pPr>
    <w:rPr>
      <w:kern w:val="0"/>
      <w:sz w:val="24"/>
    </w:rPr>
  </w:style>
  <w:style w:type="paragraph" w:styleId="18">
    <w:name w:val="Title"/>
    <w:basedOn w:val="1"/>
    <w:next w:val="1"/>
    <w:qFormat/>
    <w:uiPriority w:val="10"/>
    <w:pPr>
      <w:outlineLvl w:val="0"/>
    </w:pPr>
    <w:rPr>
      <w:rFonts w:eastAsia="黑体" w:cstheme="majorBidi"/>
      <w:bCs/>
      <w:szCs w:val="32"/>
    </w:rPr>
  </w:style>
  <w:style w:type="paragraph" w:styleId="19">
    <w:name w:val="Body Text First Indent"/>
    <w:basedOn w:val="2"/>
    <w:qFormat/>
    <w:uiPriority w:val="0"/>
    <w:pPr>
      <w:ind w:firstLine="200" w:firstLineChars="200"/>
    </w:pPr>
  </w:style>
  <w:style w:type="paragraph" w:styleId="20">
    <w:name w:val="Body Text First Indent 2"/>
    <w:basedOn w:val="8"/>
    <w:unhideWhenUsed/>
    <w:qFormat/>
    <w:uiPriority w:val="99"/>
    <w:pPr>
      <w:ind w:firstLine="420" w:firstLineChars="200"/>
    </w:pPr>
  </w:style>
  <w:style w:type="table" w:styleId="22">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rPr>
  </w:style>
  <w:style w:type="character" w:styleId="25">
    <w:name w:val="Hyperlink"/>
    <w:basedOn w:val="23"/>
    <w:unhideWhenUsed/>
    <w:qFormat/>
    <w:uiPriority w:val="99"/>
    <w:rPr>
      <w:color w:val="0000FF" w:themeColor="hyperlink"/>
      <w:u w:val="single"/>
      <w14:textFill>
        <w14:solidFill>
          <w14:schemeClr w14:val="hlink"/>
        </w14:solidFill>
      </w14:textFill>
    </w:rPr>
  </w:style>
  <w:style w:type="paragraph" w:customStyle="1" w:styleId="26">
    <w:name w:val="Body Text Indent 21"/>
    <w:basedOn w:val="1"/>
    <w:next w:val="1"/>
    <w:qFormat/>
    <w:uiPriority w:val="0"/>
    <w:pPr>
      <w:spacing w:after="120" w:afterLines="0" w:line="480" w:lineRule="auto"/>
      <w:ind w:left="420" w:leftChars="200"/>
    </w:pPr>
  </w:style>
  <w:style w:type="paragraph" w:customStyle="1" w:styleId="27">
    <w:name w:val="_Style 2"/>
    <w:basedOn w:val="1"/>
    <w:qFormat/>
    <w:uiPriority w:val="0"/>
    <w:pPr>
      <w:spacing w:line="351" w:lineRule="atLeast"/>
      <w:ind w:firstLine="623"/>
      <w:textAlignment w:val="baseline"/>
    </w:pPr>
    <w:rPr>
      <w:rFonts w:eastAsia="仿宋_GB2312"/>
      <w:color w:val="000000"/>
      <w:sz w:val="31"/>
      <w:szCs w:val="20"/>
    </w:rPr>
  </w:style>
  <w:style w:type="character" w:customStyle="1" w:styleId="28">
    <w:name w:val="页眉 Char"/>
    <w:basedOn w:val="23"/>
    <w:link w:val="12"/>
    <w:semiHidden/>
    <w:qFormat/>
    <w:uiPriority w:val="99"/>
    <w:rPr>
      <w:sz w:val="18"/>
      <w:szCs w:val="18"/>
    </w:rPr>
  </w:style>
  <w:style w:type="character" w:customStyle="1" w:styleId="29">
    <w:name w:val="页脚 Char"/>
    <w:basedOn w:val="23"/>
    <w:link w:val="11"/>
    <w:qFormat/>
    <w:uiPriority w:val="99"/>
    <w:rPr>
      <w:sz w:val="18"/>
      <w:szCs w:val="18"/>
    </w:rPr>
  </w:style>
  <w:style w:type="character" w:customStyle="1" w:styleId="30">
    <w:name w:val="日期 Char"/>
    <w:basedOn w:val="23"/>
    <w:link w:val="9"/>
    <w:semiHidden/>
    <w:qFormat/>
    <w:uiPriority w:val="99"/>
    <w:rPr>
      <w:kern w:val="2"/>
      <w:sz w:val="21"/>
      <w:szCs w:val="22"/>
    </w:rPr>
  </w:style>
  <w:style w:type="paragraph" w:customStyle="1" w:styleId="31">
    <w:name w:val="Body text|1"/>
    <w:basedOn w:val="1"/>
    <w:qFormat/>
    <w:uiPriority w:val="0"/>
    <w:pPr>
      <w:spacing w:line="480" w:lineRule="auto"/>
      <w:ind w:firstLine="400"/>
      <w:jc w:val="left"/>
    </w:pPr>
    <w:rPr>
      <w:rFonts w:ascii="宋体" w:hAnsi="宋体" w:cs="宋体"/>
      <w:sz w:val="26"/>
      <w:szCs w:val="26"/>
      <w:lang w:val="zh-TW" w:eastAsia="zh-TW" w:bidi="zh-TW"/>
    </w:rPr>
  </w:style>
  <w:style w:type="paragraph" w:customStyle="1" w:styleId="32">
    <w:name w:val="Body text|2"/>
    <w:basedOn w:val="1"/>
    <w:qFormat/>
    <w:uiPriority w:val="0"/>
    <w:pPr>
      <w:spacing w:line="599" w:lineRule="exact"/>
      <w:ind w:firstLine="640"/>
      <w:jc w:val="left"/>
    </w:pPr>
    <w:rPr>
      <w:rFonts w:ascii="宋体" w:hAnsi="宋体" w:cs="宋体"/>
      <w:sz w:val="30"/>
      <w:szCs w:val="30"/>
      <w:lang w:val="zh-TW" w:eastAsia="zh-TW" w:bidi="zh-TW"/>
    </w:rPr>
  </w:style>
  <w:style w:type="paragraph" w:customStyle="1" w:styleId="33">
    <w:name w:val="列出段落1"/>
    <w:basedOn w:val="1"/>
    <w:qFormat/>
    <w:uiPriority w:val="34"/>
    <w:pPr>
      <w:ind w:firstLine="420" w:firstLineChars="200"/>
    </w:pPr>
  </w:style>
  <w:style w:type="character" w:customStyle="1" w:styleId="34">
    <w:name w:val="标题 2 Char"/>
    <w:basedOn w:val="23"/>
    <w:link w:val="5"/>
    <w:qFormat/>
    <w:uiPriority w:val="0"/>
    <w:rPr>
      <w:rFonts w:ascii="Cambria" w:hAnsi="Cambria" w:cs="Cambria"/>
      <w:b/>
      <w:bCs/>
    </w:rPr>
  </w:style>
  <w:style w:type="paragraph" w:customStyle="1" w:styleId="35">
    <w:name w:val="正文条款"/>
    <w:basedOn w:val="1"/>
    <w:qFormat/>
    <w:uiPriority w:val="99"/>
    <w:pPr>
      <w:numPr>
        <w:ilvl w:val="0"/>
        <w:numId w:val="1"/>
      </w:numPr>
      <w:tabs>
        <w:tab w:val="left" w:pos="1838"/>
      </w:tabs>
      <w:adjustRightInd w:val="0"/>
      <w:snapToGrid w:val="0"/>
      <w:spacing w:line="550" w:lineRule="exact"/>
    </w:pPr>
    <w:rPr>
      <w:rFonts w:ascii="FangSong_GB2312" w:hAnsi="Times New Roman" w:eastAsia="FangSong_GB2312"/>
      <w:color w:val="000000"/>
      <w:sz w:val="30"/>
      <w:szCs w:val="32"/>
    </w:rPr>
  </w:style>
  <w:style w:type="paragraph" w:customStyle="1" w:styleId="36">
    <w:name w:val="MSG_EN_FONT_STYLE_NAME_TEMPLATE_ROLE_NUMBER MSG_EN_FONT_STYLE_NAME_BY_ROLE_TEXT 2"/>
    <w:basedOn w:val="1"/>
    <w:qFormat/>
    <w:uiPriority w:val="0"/>
    <w:pPr>
      <w:shd w:val="clear" w:color="auto" w:fill="FFFFFF"/>
      <w:spacing w:after="920" w:line="300" w:lineRule="exact"/>
      <w:jc w:val="right"/>
    </w:pPr>
    <w:rPr>
      <w:rFonts w:ascii="宋体" w:hAnsi="宋体" w:eastAsia="Times New Roman"/>
      <w:kern w:val="0"/>
      <w:sz w:val="30"/>
      <w:szCs w:val="30"/>
    </w:rPr>
  </w:style>
  <w:style w:type="paragraph" w:customStyle="1" w:styleId="37">
    <w:name w:val="MSG_EN_FONT_STYLE_NAME_TEMPLATE_ROLE_NUMBER MSG_EN_FONT_STYLE_NAME_BY_ROLE_TEXT 3"/>
    <w:basedOn w:val="1"/>
    <w:qFormat/>
    <w:uiPriority w:val="0"/>
    <w:pPr>
      <w:shd w:val="clear" w:color="auto" w:fill="FFFFFF"/>
      <w:spacing w:before="60" w:line="590" w:lineRule="exact"/>
      <w:ind w:firstLine="680"/>
      <w:jc w:val="distribute"/>
    </w:pPr>
    <w:rPr>
      <w:rFonts w:ascii="宋体" w:hAnsi="宋体" w:eastAsia="Times New Roman"/>
      <w:kern w:val="0"/>
      <w:sz w:val="32"/>
      <w:szCs w:val="32"/>
    </w:rPr>
  </w:style>
  <w:style w:type="character" w:customStyle="1" w:styleId="38">
    <w:name w:val="font51"/>
    <w:basedOn w:val="23"/>
    <w:qFormat/>
    <w:uiPriority w:val="0"/>
    <w:rPr>
      <w:rFonts w:hint="eastAsia" w:ascii="FangSong_GB2312" w:eastAsia="FangSong_GB2312" w:cs="FangSong_GB2312"/>
      <w:color w:val="000000"/>
      <w:sz w:val="20"/>
      <w:szCs w:val="20"/>
      <w:u w:val="none"/>
    </w:rPr>
  </w:style>
  <w:style w:type="character" w:customStyle="1" w:styleId="39">
    <w:name w:val="font61"/>
    <w:basedOn w:val="23"/>
    <w:qFormat/>
    <w:uiPriority w:val="0"/>
    <w:rPr>
      <w:rFonts w:hint="default" w:ascii="Times New Roman" w:hAnsi="Times New Roman" w:cs="Times New Roman"/>
      <w:color w:val="000000"/>
      <w:sz w:val="20"/>
      <w:szCs w:val="20"/>
      <w:u w:val="none"/>
    </w:rPr>
  </w:style>
  <w:style w:type="character" w:customStyle="1" w:styleId="40">
    <w:name w:val="font71"/>
    <w:basedOn w:val="23"/>
    <w:qFormat/>
    <w:uiPriority w:val="0"/>
    <w:rPr>
      <w:rFonts w:hint="default" w:ascii="Times New Roman" w:hAnsi="Times New Roman" w:cs="Times New Roman"/>
      <w:color w:val="000000"/>
      <w:sz w:val="20"/>
      <w:szCs w:val="20"/>
      <w:u w:val="none"/>
    </w:rPr>
  </w:style>
  <w:style w:type="character" w:customStyle="1" w:styleId="41">
    <w:name w:val="font31"/>
    <w:basedOn w:val="23"/>
    <w:qFormat/>
    <w:uiPriority w:val="0"/>
    <w:rPr>
      <w:rFonts w:hint="eastAsia" w:ascii="FangSong_GB2312" w:eastAsia="FangSong_GB2312" w:cs="FangSong_GB2312"/>
      <w:color w:val="000000"/>
      <w:sz w:val="20"/>
      <w:szCs w:val="20"/>
      <w:u w:val="none"/>
    </w:rPr>
  </w:style>
  <w:style w:type="character" w:customStyle="1" w:styleId="42">
    <w:name w:val="font81"/>
    <w:basedOn w:val="23"/>
    <w:qFormat/>
    <w:uiPriority w:val="0"/>
    <w:rPr>
      <w:rFonts w:hint="default" w:ascii="Times New Roman" w:hAnsi="Times New Roman" w:cs="Times New Roman"/>
      <w:color w:val="000000"/>
      <w:sz w:val="20"/>
      <w:szCs w:val="20"/>
      <w:u w:val="none"/>
    </w:rPr>
  </w:style>
  <w:style w:type="character" w:customStyle="1" w:styleId="43">
    <w:name w:val="font41"/>
    <w:basedOn w:val="23"/>
    <w:qFormat/>
    <w:uiPriority w:val="0"/>
    <w:rPr>
      <w:rFonts w:hint="eastAsia" w:ascii="FangSong_GB2312" w:eastAsia="FangSong_GB2312" w:cs="FangSong_GB2312"/>
      <w:color w:val="000000"/>
      <w:sz w:val="20"/>
      <w:szCs w:val="20"/>
      <w:u w:val="none"/>
    </w:rPr>
  </w:style>
  <w:style w:type="paragraph" w:customStyle="1" w:styleId="44">
    <w:name w:val="List Paragraph"/>
    <w:basedOn w:val="1"/>
    <w:unhideWhenUsed/>
    <w:qFormat/>
    <w:uiPriority w:val="99"/>
    <w:pPr>
      <w:ind w:firstLine="420" w:firstLineChars="200"/>
    </w:pPr>
  </w:style>
  <w:style w:type="paragraph" w:customStyle="1" w:styleId="45">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6">
    <w:name w:val="font111"/>
    <w:basedOn w:val="23"/>
    <w:qFormat/>
    <w:uiPriority w:val="0"/>
    <w:rPr>
      <w:rFonts w:ascii="仿宋_GB2312" w:eastAsia="仿宋_GB2312" w:cs="仿宋_GB2312"/>
      <w:color w:val="000000"/>
      <w:sz w:val="24"/>
      <w:szCs w:val="24"/>
      <w:u w:val="none"/>
    </w:rPr>
  </w:style>
  <w:style w:type="character" w:customStyle="1" w:styleId="47">
    <w:name w:val="副标题 Char"/>
    <w:basedOn w:val="23"/>
    <w:link w:val="14"/>
    <w:qFormat/>
    <w:uiPriority w:val="11"/>
    <w:rPr>
      <w:rFonts w:eastAsia="楷体_GB2312"/>
      <w:b/>
      <w:bCs/>
      <w:kern w:val="28"/>
      <w:szCs w:val="32"/>
    </w:rPr>
  </w:style>
  <w:style w:type="character" w:customStyle="1" w:styleId="48">
    <w:name w:val="NormalCharacter"/>
    <w:semiHidden/>
    <w:qFormat/>
    <w:uiPriority w:val="0"/>
  </w:style>
  <w:style w:type="character" w:customStyle="1" w:styleId="49">
    <w:name w:val="font01"/>
    <w:basedOn w:val="23"/>
    <w:qFormat/>
    <w:uiPriority w:val="0"/>
    <w:rPr>
      <w:rFonts w:hint="default" w:ascii="Arial" w:hAnsi="Arial" w:cs="Arial"/>
      <w:color w:val="000000"/>
      <w:sz w:val="20"/>
      <w:szCs w:val="20"/>
      <w:u w:val="none"/>
    </w:rPr>
  </w:style>
  <w:style w:type="character" w:customStyle="1" w:styleId="50">
    <w:name w:val="font11"/>
    <w:basedOn w:val="23"/>
    <w:qFormat/>
    <w:uiPriority w:val="0"/>
    <w:rPr>
      <w:rFonts w:ascii="仿宋_GB2312" w:eastAsia="仿宋_GB2312" w:cs="仿宋_GB2312"/>
      <w:color w:val="000000"/>
      <w:sz w:val="24"/>
      <w:szCs w:val="24"/>
      <w:u w:val="none"/>
    </w:rPr>
  </w:style>
  <w:style w:type="character" w:customStyle="1" w:styleId="51">
    <w:name w:val="标题 3 Char"/>
    <w:link w:val="6"/>
    <w:qFormat/>
    <w:uiPriority w:val="0"/>
    <w:rPr>
      <w:rFonts w:hint="eastAsia" w:eastAsia="楷体_GB2312" w:cs="Times New Roman"/>
    </w:rPr>
  </w:style>
  <w:style w:type="paragraph" w:customStyle="1" w:styleId="52">
    <w:name w:val="NOTE_Normal"/>
    <w:basedOn w:val="1"/>
    <w:next w:val="2"/>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1094</Words>
  <Characters>1155</Characters>
  <Lines>3</Lines>
  <Paragraphs>1</Paragraphs>
  <TotalTime>22</TotalTime>
  <ScaleCrop>false</ScaleCrop>
  <LinksUpToDate>false</LinksUpToDate>
  <CharactersWithSpaces>1218</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2021-01-26T17:19:00Z</dcterms:created>
  <dc:creator>Windows 用户</dc:creator>
  <cp:lastModifiedBy>uos</cp:lastModifiedBy>
  <cp:lastPrinted>2026-10-21T00:07:00Z</cp:lastPrinted>
  <dcterms:modified xsi:type="dcterms:W3CDTF">2026-10-21T11:29:36Z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E06F860CB18B4768ADCD3BC4EFCD8029</vt:lpwstr>
  </property>
</Properties>
</file>